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9866179"/>
    <w:bookmarkEnd w:id="0"/>
    <w:p w14:paraId="750D4C16" w14:textId="394077FA" w:rsidR="00507036" w:rsidRDefault="00BE0507" w:rsidP="003B735A">
      <w:pPr>
        <w:pStyle w:val="Els-Title"/>
        <w:tabs>
          <w:tab w:val="left" w:pos="1695"/>
          <w:tab w:val="center" w:pos="4043"/>
        </w:tabs>
        <w:jc w:val="left"/>
      </w:pPr>
      <w:r>
        <w:rPr>
          <w:noProof/>
          <w:lang w:eastAsia="en-US"/>
        </w:rPr>
        <mc:AlternateContent>
          <mc:Choice Requires="wps">
            <w:drawing>
              <wp:anchor distT="0" distB="0" distL="114300" distR="114300" simplePos="0" relativeHeight="251665408" behindDoc="0" locked="0" layoutInCell="1" allowOverlap="1" wp14:anchorId="73D3BB58" wp14:editId="08026AF7">
                <wp:simplePos x="0" y="0"/>
                <wp:positionH relativeFrom="column">
                  <wp:posOffset>611282</wp:posOffset>
                </wp:positionH>
                <wp:positionV relativeFrom="paragraph">
                  <wp:posOffset>103505</wp:posOffset>
                </wp:positionV>
                <wp:extent cx="4422775" cy="643255"/>
                <wp:effectExtent l="0" t="0" r="0" b="444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775" cy="64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E0942" w14:textId="77777777" w:rsidR="009F38C1" w:rsidRDefault="009F38C1" w:rsidP="00951D25">
                            <w:pPr>
                              <w:pStyle w:val="BasicParagraph"/>
                              <w:jc w:val="center"/>
                              <w:rPr>
                                <w:b/>
                                <w:bCs/>
                                <w:sz w:val="36"/>
                                <w:szCs w:val="36"/>
                              </w:rPr>
                            </w:pPr>
                            <w:r>
                              <w:rPr>
                                <w:b/>
                                <w:bCs/>
                                <w:sz w:val="36"/>
                                <w:szCs w:val="36"/>
                              </w:rPr>
                              <w:t>Egyptian Journal of Veterinary Sciences</w:t>
                            </w:r>
                          </w:p>
                          <w:p w14:paraId="3DA62775" w14:textId="77777777" w:rsidR="009F38C1" w:rsidRDefault="009F38C1" w:rsidP="00391DE5">
                            <w:pPr>
                              <w:pStyle w:val="NoParagraphStyle"/>
                              <w:jc w:val="center"/>
                              <w:rPr>
                                <w:b/>
                                <w:bCs/>
                                <w:sz w:val="20"/>
                                <w:szCs w:val="20"/>
                              </w:rPr>
                            </w:pPr>
                            <w:r>
                              <w:rPr>
                                <w:b/>
                                <w:bCs/>
                                <w:sz w:val="20"/>
                                <w:szCs w:val="20"/>
                              </w:rPr>
                              <w:t>https://ejvs.journals.ekb.eg/</w:t>
                            </w:r>
                          </w:p>
                          <w:p w14:paraId="2A447E5C" w14:textId="77777777" w:rsidR="009F38C1" w:rsidRPr="00951D25" w:rsidRDefault="009F38C1" w:rsidP="00951D25">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3BB58" id="_x0000_t202" coordsize="21600,21600" o:spt="202" path="m,l,21600r21600,l21600,xe">
                <v:stroke joinstyle="miter"/>
                <v:path gradientshapeok="t" o:connecttype="rect"/>
              </v:shapetype>
              <v:shape id="Text Box 13" o:spid="_x0000_s1026" type="#_x0000_t202" style="position:absolute;margin-left:48.15pt;margin-top:8.15pt;width:348.25pt;height:5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kM4AEAAKEDAAAOAAAAZHJzL2Uyb0RvYy54bWysU9uO0zAQfUfiHyy/07Qh3ULUdLXsahHS&#10;cpEWPsBx7MQi8Zix26R8PWOn2y3whnix7JnJmXPOTLbX09Czg0JvwFZ8tVhypqyExti24t++3r96&#10;w5kPwjaiB6sqflSeX+9evtiOrlQ5dNA3ChmBWF+OruJdCK7MMi87NQi/AKcsJTXgIAI9sc0aFCOh&#10;D32WL5dX2QjYOASpvKfo3Zzku4SvtZLhs9ZeBdZXnLiFdGI663hmu60oWxSuM/JEQ/wDi0EYS03P&#10;UHciCLZH8xfUYCSCBx0WEoYMtDZSJQ2kZrX8Q81jJ5xKWsgc7842+f8HKz8dHt0XZGF6BxMNMInw&#10;7gHkd88s3HbCtuoGEcZOiYYar6Jl2eh8efo0Wu1LH0Hq8SM0NGSxD5CAJo1DdIV0MkKnARzPpqsp&#10;MEnBosjzzWbNmaTcVfE6X69TC1E+fe3Qh/cKBhYvFUcaakIXhwcfIhtRPpXEZhbuTd+nwfb2twAV&#10;xkhiHwnP1MNUT1QdVdTQHEkHwrwntNd06QB/cjbSjlTc/9gLVJz1Hyx58XZVFHGp0qNYb3J64GWm&#10;vswIKwmq4oGz+Xob5kXcOzRtR51m9y3ckH/aJGnPrE68aQ+S4tPOxkW7fKeq5z9r9wsAAP//AwBQ&#10;SwMEFAAGAAgAAAAhAKCM5/ncAAAACQEAAA8AAABkcnMvZG93bnJldi54bWxMT01PwkAQvZv4HzZj&#10;4k12QS20dEuIxqsGVBJuS3doG7qzTXeh9d87nPQ0eR95816+Gl0rLtiHxpOG6USBQCq9bajS8PX5&#10;9rAAEaIha1pPqOEHA6yK25vcZNYPtMHLNlaCQyhkRkMdY5dJGcoanQkT3yGxdvS9M5FhX0nbm4HD&#10;XStnSiXSmYb4Q206fKmxPG3PTsP3+3G/e1If1at77gY/KkkulVrf343rJYiIY/wzw7U+V4eCOx38&#10;mWwQrYY0eWQn89fL+jyd8ZQDE9N5ArLI5f8FxS8AAAD//wMAUEsBAi0AFAAGAAgAAAAhALaDOJL+&#10;AAAA4QEAABMAAAAAAAAAAAAAAAAAAAAAAFtDb250ZW50X1R5cGVzXS54bWxQSwECLQAUAAYACAAA&#10;ACEAOP0h/9YAAACUAQAACwAAAAAAAAAAAAAAAAAvAQAAX3JlbHMvLnJlbHNQSwECLQAUAAYACAAA&#10;ACEAJxdJDOABAAChAwAADgAAAAAAAAAAAAAAAAAuAgAAZHJzL2Uyb0RvYy54bWxQSwECLQAUAAYA&#10;CAAAACEAoIzn+dwAAAAJAQAADwAAAAAAAAAAAAAAAAA6BAAAZHJzL2Rvd25yZXYueG1sUEsFBgAA&#10;AAAEAAQA8wAAAEMFAAAAAA==&#10;" filled="f" stroked="f">
                <v:textbox>
                  <w:txbxContent>
                    <w:p w14:paraId="66AE0942" w14:textId="77777777" w:rsidR="009F38C1" w:rsidRDefault="009F38C1" w:rsidP="00951D25">
                      <w:pPr>
                        <w:pStyle w:val="BasicParagraph"/>
                        <w:jc w:val="center"/>
                        <w:rPr>
                          <w:b/>
                          <w:bCs/>
                          <w:sz w:val="36"/>
                          <w:szCs w:val="36"/>
                        </w:rPr>
                      </w:pPr>
                      <w:r>
                        <w:rPr>
                          <w:b/>
                          <w:bCs/>
                          <w:sz w:val="36"/>
                          <w:szCs w:val="36"/>
                        </w:rPr>
                        <w:t>Egyptian Journal of Veterinary Sciences</w:t>
                      </w:r>
                    </w:p>
                    <w:p w14:paraId="3DA62775" w14:textId="77777777" w:rsidR="009F38C1" w:rsidRDefault="009F38C1" w:rsidP="00391DE5">
                      <w:pPr>
                        <w:pStyle w:val="NoParagraphStyle"/>
                        <w:jc w:val="center"/>
                        <w:rPr>
                          <w:b/>
                          <w:bCs/>
                          <w:sz w:val="20"/>
                          <w:szCs w:val="20"/>
                        </w:rPr>
                      </w:pPr>
                      <w:r>
                        <w:rPr>
                          <w:b/>
                          <w:bCs/>
                          <w:sz w:val="20"/>
                          <w:szCs w:val="20"/>
                        </w:rPr>
                        <w:t>https://ejvs.journals.ekb.eg/</w:t>
                      </w:r>
                    </w:p>
                    <w:p w14:paraId="2A447E5C" w14:textId="77777777" w:rsidR="009F38C1" w:rsidRPr="00951D25" w:rsidRDefault="009F38C1" w:rsidP="00951D25">
                      <w:pPr>
                        <w:jc w:val="center"/>
                        <w:rPr>
                          <w:lang w:val="en-US"/>
                        </w:rPr>
                      </w:pPr>
                    </w:p>
                  </w:txbxContent>
                </v:textbox>
              </v:shape>
            </w:pict>
          </mc:Fallback>
        </mc:AlternateContent>
      </w:r>
      <w:r w:rsidR="003F49CF">
        <w:rPr>
          <w:noProof/>
          <w:lang w:eastAsia="en-US"/>
        </w:rPr>
        <w:drawing>
          <wp:anchor distT="0" distB="0" distL="114300" distR="114300" simplePos="0" relativeHeight="251692032" behindDoc="0" locked="0" layoutInCell="1" allowOverlap="1" wp14:anchorId="54F2781B" wp14:editId="0A82C092">
            <wp:simplePos x="0" y="0"/>
            <wp:positionH relativeFrom="column">
              <wp:posOffset>4998497</wp:posOffset>
            </wp:positionH>
            <wp:positionV relativeFrom="paragraph">
              <wp:posOffset>-18415</wp:posOffset>
            </wp:positionV>
            <wp:extent cx="802005" cy="784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005"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00E56D08">
        <w:rPr>
          <w:noProof/>
          <w:lang w:eastAsia="en-US"/>
        </w:rPr>
        <mc:AlternateContent>
          <mc:Choice Requires="wps">
            <w:drawing>
              <wp:anchor distT="0" distB="0" distL="114300" distR="114300" simplePos="0" relativeHeight="251667456" behindDoc="0" locked="0" layoutInCell="1" allowOverlap="1" wp14:anchorId="31B54EF4" wp14:editId="1392FD28">
                <wp:simplePos x="0" y="0"/>
                <wp:positionH relativeFrom="column">
                  <wp:posOffset>-58197</wp:posOffset>
                </wp:positionH>
                <wp:positionV relativeFrom="paragraph">
                  <wp:posOffset>-316865</wp:posOffset>
                </wp:positionV>
                <wp:extent cx="558165" cy="262255"/>
                <wp:effectExtent l="0" t="0" r="0" b="4445"/>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AB8CA" w14:textId="615696FF" w:rsidR="009F38C1" w:rsidRPr="004636A0" w:rsidRDefault="009F38C1" w:rsidP="009F6912">
                            <w:pPr>
                              <w:pStyle w:val="BasicParagraph"/>
                              <w:rPr>
                                <w:b/>
                                <w:bCs/>
                                <w:sz w:val="28"/>
                                <w:szCs w:val="28"/>
                              </w:rPr>
                            </w:pPr>
                          </w:p>
                          <w:p w14:paraId="7CB00ED2" w14:textId="77777777" w:rsidR="009F38C1" w:rsidRPr="004636A0" w:rsidRDefault="009F38C1" w:rsidP="009F6912">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54EF4" id="Text Box 27" o:spid="_x0000_s1027" type="#_x0000_t202" style="position:absolute;margin-left:-4.6pt;margin-top:-24.95pt;width:43.95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Du+9QEAANADAAAOAAAAZHJzL2Uyb0RvYy54bWysU8GO0zAQvSPxD5bvNG3UlCVqulq6KkJa&#10;WKSFD3AcJ7FIPGbsNilfz9jJdgvcED5YHs/4zbw34+3t2HfspNBpMAVfLZacKSOh0qYp+Levhzc3&#10;nDkvTCU6MKrgZ+X47e71q+1gc5VCC12lkBGIcflgC956b/MkcbJVvXALsMqQswbshScTm6RCMRB6&#10;3yXpcrlJBsDKIkjlHN3eT06+i/h1raR/rGunPOsKTrX5uGPcy7Anu63IGxS21XIuQ/xDFb3QhpJe&#10;oO6FF+yI+i+oXksEB7VfSOgTqGstVeRAbFbLP9g8tcKqyIXEcfYik/t/sPLz6cl+QebH9zBSAyMJ&#10;Zx9AfnfMwL4VplF3iDC0SlSUeBUkSwbr8vlpkNrlLoCUwyeoqMni6CECjTX2QRXiyQidGnC+iK5G&#10;zyRdZtnNapNxJsmVbtI0y2IGkT8/tuj8BwU9C4eCI/U0govTg/OhGJE/h4RcDjpdHXTXRQObct8h&#10;Ownq/yGuGf23sM6EYAPh2YQYbiLLQGyi6MdyZLqaJQikS6jORBthGiv6BnRoAX9yNtBIFdz9OApU&#10;nHUfDUn3brVehxmMxjp7m5KB157y2iOMJKiCe86m495Pc3u0qJuWMk3NMnBHctc6SvFS1Vw+jU1U&#10;aB7xMJfXdox6+Yi7XwAAAP//AwBQSwMEFAAGAAgAAAAhAKhEkzfcAAAACAEAAA8AAABkcnMvZG93&#10;bnJldi54bWxMj01Ow0AMRvdI3GFkJDaonVCV/JFJBUggti09gJO4SUTGE2WmTXp7zApWlu2nz8/F&#10;brGDutDke8cGHtcRKOLaNT23Bo5f76sUlA/IDQ6OycCVPOzK25sC88bNvKfLIbRKQtjnaKALYcy1&#10;9nVHFv3ajcSyO7nJYpB2anUz4SzhdtCbKIq1xZ7lQocjvXVUfx/O1sDpc354yubqIxyT/TZ+xT6p&#10;3NWY+7vl5RlUoCX8wfCrL+pQilPlztx4NRhYZRshpW6zDJQASZqAqmSQxqDLQv9/oPwBAAD//wMA&#10;UEsBAi0AFAAGAAgAAAAhALaDOJL+AAAA4QEAABMAAAAAAAAAAAAAAAAAAAAAAFtDb250ZW50X1R5&#10;cGVzXS54bWxQSwECLQAUAAYACAAAACEAOP0h/9YAAACUAQAACwAAAAAAAAAAAAAAAAAvAQAAX3Jl&#10;bHMvLnJlbHNQSwECLQAUAAYACAAAACEAtSw7vvUBAADQAwAADgAAAAAAAAAAAAAAAAAuAgAAZHJz&#10;L2Uyb0RvYy54bWxQSwECLQAUAAYACAAAACEAqESTN9wAAAAIAQAADwAAAAAAAAAAAAAAAABPBAAA&#10;ZHJzL2Rvd25yZXYueG1sUEsFBgAAAAAEAAQA8wAAAFgFAAAAAA==&#10;" stroked="f">
                <v:textbox>
                  <w:txbxContent>
                    <w:p w14:paraId="5A9AB8CA" w14:textId="615696FF" w:rsidR="009F38C1" w:rsidRPr="004636A0" w:rsidRDefault="009F38C1" w:rsidP="009F6912">
                      <w:pPr>
                        <w:pStyle w:val="BasicParagraph"/>
                        <w:rPr>
                          <w:b/>
                          <w:bCs/>
                          <w:sz w:val="28"/>
                          <w:szCs w:val="28"/>
                        </w:rPr>
                      </w:pPr>
                    </w:p>
                    <w:p w14:paraId="7CB00ED2" w14:textId="77777777" w:rsidR="009F38C1" w:rsidRPr="004636A0" w:rsidRDefault="009F38C1" w:rsidP="009F6912">
                      <w:pPr>
                        <w:rPr>
                          <w:b/>
                          <w:bCs/>
                        </w:rPr>
                      </w:pPr>
                    </w:p>
                  </w:txbxContent>
                </v:textbox>
              </v:shape>
            </w:pict>
          </mc:Fallback>
        </mc:AlternateContent>
      </w:r>
      <w:r w:rsidR="00E844D2">
        <w:rPr>
          <w:noProof/>
          <w:lang w:eastAsia="en-US"/>
        </w:rPr>
        <mc:AlternateContent>
          <mc:Choice Requires="wps">
            <w:drawing>
              <wp:anchor distT="0" distB="0" distL="114300" distR="114300" simplePos="0" relativeHeight="251684864" behindDoc="0" locked="0" layoutInCell="1" allowOverlap="1" wp14:anchorId="6E5B11E8" wp14:editId="7947947F">
                <wp:simplePos x="0" y="0"/>
                <wp:positionH relativeFrom="column">
                  <wp:posOffset>2493422</wp:posOffset>
                </wp:positionH>
                <wp:positionV relativeFrom="paragraph">
                  <wp:posOffset>-284480</wp:posOffset>
                </wp:positionV>
                <wp:extent cx="3384550" cy="26225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262255"/>
                        </a:xfrm>
                        <a:prstGeom prst="rect">
                          <a:avLst/>
                        </a:prstGeom>
                        <a:noFill/>
                        <a:ln w="9525">
                          <a:noFill/>
                          <a:miter lim="800000"/>
                          <a:headEnd/>
                          <a:tailEnd/>
                        </a:ln>
                      </wps:spPr>
                      <wps:txbx>
                        <w:txbxContent>
                          <w:p w14:paraId="100FE15A" w14:textId="4EF67E42" w:rsidR="009F38C1" w:rsidRDefault="009F38C1" w:rsidP="00C21648">
                            <w:pPr>
                              <w:pStyle w:val="BasicParagraph"/>
                              <w:jc w:val="right"/>
                              <w:rPr>
                                <w:sz w:val="18"/>
                                <w:szCs w:val="18"/>
                              </w:rPr>
                            </w:pPr>
                            <w:r>
                              <w:rPr>
                                <w:i/>
                                <w:iCs/>
                                <w:sz w:val="18"/>
                                <w:szCs w:val="18"/>
                              </w:rPr>
                              <w:t>Egypt. J. Vet. Sci.</w:t>
                            </w:r>
                            <w:r w:rsidRPr="00C07475">
                              <w:rPr>
                                <w:sz w:val="18"/>
                                <w:szCs w:val="18"/>
                              </w:rPr>
                              <w:t>,</w:t>
                            </w:r>
                            <w:r>
                              <w:rPr>
                                <w:b/>
                                <w:bCs/>
                                <w:i/>
                                <w:iCs/>
                                <w:sz w:val="18"/>
                                <w:szCs w:val="18"/>
                              </w:rPr>
                              <w:t xml:space="preserve"> </w:t>
                            </w:r>
                            <w:r>
                              <w:rPr>
                                <w:sz w:val="18"/>
                                <w:szCs w:val="18"/>
                              </w:rPr>
                              <w:t xml:space="preserve">pp. </w:t>
                            </w:r>
                            <w:r w:rsidR="00C21648">
                              <w:rPr>
                                <w:sz w:val="18"/>
                                <w:szCs w:val="18"/>
                              </w:rPr>
                              <w:t>1-10</w:t>
                            </w:r>
                          </w:p>
                          <w:p w14:paraId="0130A504" w14:textId="77777777" w:rsidR="009F38C1" w:rsidRPr="00A9572D" w:rsidRDefault="009F38C1" w:rsidP="007240F6">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B11E8" id="Text Box 1" o:spid="_x0000_s1028" type="#_x0000_t202" style="position:absolute;margin-left:196.35pt;margin-top:-22.4pt;width:266.5pt;height:2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6fAwIAAOADAAAOAAAAZHJzL2Uyb0RvYy54bWysU8tu2zAQvBfoPxC817IVK3UEy0GaNEWB&#10;9AGk/QCaoiyiJJdd0pbSr++SchyjvRXVgSC52tmd2eH6erSGHRQGDa7hi9mcM+UktNrtGv792/2b&#10;FWchCtcKA041/EkFfr15/Wo9+FqV0INpFTICcaEefMP7GH1dFEH2yoowA68cBTtAKyIdcVe0KAZC&#10;t6Yo5/PLYgBsPYJUIdDt3RTkm4zfdUrGL10XVGSm4dRbzCvmdZvWYrMW9Q6F77U8tiH+oQsrtKOi&#10;J6g7EQXbo/4LymqJEKCLMwm2gK7TUmUOxGYx/4PNYy+8ylxInOBPMoX/Bys/Hx79V2RxfAcjDTCT&#10;CP4B5I/AHNz2wu3UDSIMvRItFV4kyYrBh/qYmqQOdUgg2+ETtDRksY+QgcYObVKFeDJCpwE8nURX&#10;Y2SSLi8uVsuqopCkWHlZllWVS4j6OdtjiB8UWJY2DUcaakYXh4cQUzeifv4lFXNwr43JgzWODQ2/&#10;qsoqJ5xFrI7kO6Ntw1fz9E1OSCTfuzYnR6HNtKcCxh1ZJ6IT5ThuR6ZbajrlJhG20D6RDAiTzehZ&#10;0KYH/MXZQBZrePi5F6g4Mx8dSXm1WC6TJ/NhWb0t6YDnke15RDhJUA2PnE3b2zj5eO9R73qqNA3P&#10;wQ3J3+mszEtXx/bJRlmwo+WTT8/P+a+Xh7n5DQAA//8DAFBLAwQUAAYACAAAACEATNsLj90AAAAK&#10;AQAADwAAAGRycy9kb3ducmV2LnhtbEyPy07DMBBF90j8gzVI7FqbNKEkxKkQiC2ohSKxc+NpEhGP&#10;o9htwt8zrGA5d47uo9zMrhdnHEPnScPNUoFAqr3tqNHw/va8uAMRoiFrek+o4RsDbKrLi9IU1k+0&#10;xfMuNoJNKBRGQxvjUEgZ6hadCUs/IPHv6EdnIp9jI+1oJjZ3vUyUupXOdMQJrRnwscX6a3dyGvYv&#10;x8+PVL02Ty4bJj8rSS6XWl9fzQ/3ICLO8Q+G3/pcHSrudPAnskH0GlZ5smZUwyJNeQMTeZKxcmBl&#10;lYGsSvl/QvUDAAD//wMAUEsBAi0AFAAGAAgAAAAhALaDOJL+AAAA4QEAABMAAAAAAAAAAAAAAAAA&#10;AAAAAFtDb250ZW50X1R5cGVzXS54bWxQSwECLQAUAAYACAAAACEAOP0h/9YAAACUAQAACwAAAAAA&#10;AAAAAAAAAAAvAQAAX3JlbHMvLnJlbHNQSwECLQAUAAYACAAAACEAC5eOnwMCAADgAwAADgAAAAAA&#10;AAAAAAAAAAAuAgAAZHJzL2Uyb0RvYy54bWxQSwECLQAUAAYACAAAACEATNsLj90AAAAKAQAADwAA&#10;AAAAAAAAAAAAAABdBAAAZHJzL2Rvd25yZXYueG1sUEsFBgAAAAAEAAQA8wAAAGcFAAAAAA==&#10;" filled="f" stroked="f">
                <v:textbox>
                  <w:txbxContent>
                    <w:p w14:paraId="100FE15A" w14:textId="4EF67E42" w:rsidR="009F38C1" w:rsidRDefault="009F38C1" w:rsidP="00C21648">
                      <w:pPr>
                        <w:pStyle w:val="BasicParagraph"/>
                        <w:jc w:val="right"/>
                        <w:rPr>
                          <w:sz w:val="18"/>
                          <w:szCs w:val="18"/>
                        </w:rPr>
                      </w:pPr>
                      <w:r>
                        <w:rPr>
                          <w:i/>
                          <w:iCs/>
                          <w:sz w:val="18"/>
                          <w:szCs w:val="18"/>
                        </w:rPr>
                        <w:t>Egypt. J. Vet. Sci.</w:t>
                      </w:r>
                      <w:r w:rsidRPr="00C07475">
                        <w:rPr>
                          <w:sz w:val="18"/>
                          <w:szCs w:val="18"/>
                        </w:rPr>
                        <w:t>,</w:t>
                      </w:r>
                      <w:r>
                        <w:rPr>
                          <w:b/>
                          <w:bCs/>
                          <w:i/>
                          <w:iCs/>
                          <w:sz w:val="18"/>
                          <w:szCs w:val="18"/>
                        </w:rPr>
                        <w:t xml:space="preserve"> </w:t>
                      </w:r>
                      <w:r>
                        <w:rPr>
                          <w:sz w:val="18"/>
                          <w:szCs w:val="18"/>
                        </w:rPr>
                        <w:t xml:space="preserve">pp. </w:t>
                      </w:r>
                      <w:r w:rsidR="00C21648">
                        <w:rPr>
                          <w:sz w:val="18"/>
                          <w:szCs w:val="18"/>
                        </w:rPr>
                        <w:t>1-10</w:t>
                      </w:r>
                    </w:p>
                    <w:p w14:paraId="0130A504" w14:textId="77777777" w:rsidR="009F38C1" w:rsidRPr="00A9572D" w:rsidRDefault="009F38C1" w:rsidP="007240F6">
                      <w:pPr>
                        <w:rPr>
                          <w:lang w:val="en-US"/>
                        </w:rPr>
                      </w:pPr>
                    </w:p>
                  </w:txbxContent>
                </v:textbox>
              </v:shape>
            </w:pict>
          </mc:Fallback>
        </mc:AlternateContent>
      </w:r>
      <w:r w:rsidR="00E844D2">
        <w:rPr>
          <w:noProof/>
          <w:lang w:eastAsia="en-US"/>
        </w:rPr>
        <mc:AlternateContent>
          <mc:Choice Requires="wps">
            <w:drawing>
              <wp:anchor distT="4294967295" distB="4294967295" distL="114300" distR="114300" simplePos="0" relativeHeight="251674624" behindDoc="0" locked="0" layoutInCell="1" allowOverlap="1" wp14:anchorId="1CC70420" wp14:editId="3379FAC0">
                <wp:simplePos x="0" y="0"/>
                <wp:positionH relativeFrom="margin">
                  <wp:posOffset>22860</wp:posOffset>
                </wp:positionH>
                <wp:positionV relativeFrom="paragraph">
                  <wp:posOffset>-53341</wp:posOffset>
                </wp:positionV>
                <wp:extent cx="5763895" cy="0"/>
                <wp:effectExtent l="0" t="0" r="27305" b="19050"/>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45B598" id="_x0000_t32" coordsize="21600,21600" o:spt="32" o:oned="t" path="m,l21600,21600e" filled="f">
                <v:path arrowok="t" fillok="f" o:connecttype="none"/>
                <o:lock v:ext="edit" shapetype="t"/>
              </v:shapetype>
              <v:shape id="AutoShape 28" o:spid="_x0000_s1026" type="#_x0000_t32" style="position:absolute;margin-left:1.8pt;margin-top:-4.2pt;width:453.85pt;height:0;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kz1AEAAJ4DAAAOAAAAZHJzL2Uyb0RvYy54bWysU02PEzEMvSPxH6Lc6bRF+8Go0z10WS4L&#10;VNrlB6RJZiYiiSM77bT/HidsywouCDGHaBzbz37PzuruGLw4WCQHsZOL2VwKGzUYF4dOfnt+eHcr&#10;BWUVjfIQbSdPluTd+u2b1ZRau4QRvLEoGCRSO6VOjjmntmlIjzYomkGykZ09YFCZTRwag2pi9OCb&#10;5Xx+3UyAJiFoS8S39z+dcl3x+97q/LXvyWbhO8m95XpiPXflbNYr1Q6o0uj0SxvqH7oIykUueoG6&#10;V1mJPbo/oILTCAR9nmkIDfS907ZyYDaL+W9snkaVbOXC4lC6yET/D1Z/OWziFkvr+hif0iPo7yQi&#10;bEYVB1sbeD4lHtyiSNVMidpLSjEobVHsps9gOEbtM1QVjj2GAsn8xLGKfbqIbY9ZaL68url+f/vh&#10;Sgp99jWqPScmpPzJQhDlp5OUUblhzBuIkUcKuKhl1OGRcmlLteeEUjXCg/O+TtZHMXHvy5s5D1+H&#10;ZBgrDjWZwDtTAksK4bDbeBQHVfakfpUve16HIeyjqcCjVeZjNCJXcSLvtiyVgjVSeMtPofzVyKyc&#10;/5tIJuHji8RF1bLC1O7AnLZYOBaLl6CyfVnYsmWv7Rr161mtfwAAAP//AwBQSwMEFAAGAAgAAAAh&#10;AL3865vZAAAABwEAAA8AAABkcnMvZG93bnJldi54bWxMjs1OwzAQhO9IvIO1SNxaJ7QNIcSpAIlz&#10;RcqF2ybexhHxOordJrw9RhzgOD+a+cr9Ygdxocn3jhWk6wQEcet0z52C9+PrKgfhA7LGwTEp+CIP&#10;++r6qsRCu5nf6FKHTsQR9gUqMCGMhZS+NWTRr91IHLOTmyyGKKdO6gnnOG4HeZckmbTYc3wwONKL&#10;ofazPlsF91v94TB73jW7+XAMdDJ1fliUur1Znh5BBFrCXxl+8CM6VJGpcWfWXgwKNlksKljlWxAx&#10;fkjTDYjm15BVKf/zV98AAAD//wMAUEsBAi0AFAAGAAgAAAAhALaDOJL+AAAA4QEAABMAAAAAAAAA&#10;AAAAAAAAAAAAAFtDb250ZW50X1R5cGVzXS54bWxQSwECLQAUAAYACAAAACEAOP0h/9YAAACUAQAA&#10;CwAAAAAAAAAAAAAAAAAvAQAAX3JlbHMvLnJlbHNQSwECLQAUAAYACAAAACEAapspM9QBAACeAwAA&#10;DgAAAAAAAAAAAAAAAAAuAgAAZHJzL2Uyb0RvYy54bWxQSwECLQAUAAYACAAAACEAvfzrm9kAAAAH&#10;AQAADwAAAAAAAAAAAAAAAAAuBAAAZHJzL2Rvd25yZXYueG1sUEsFBgAAAAAEAAQA8wAAADQFAAAA&#10;AA==&#10;" strokeweight="1pt">
                <w10:wrap anchorx="margin"/>
              </v:shape>
            </w:pict>
          </mc:Fallback>
        </mc:AlternateContent>
      </w:r>
      <w:r w:rsidR="00E844D2">
        <w:rPr>
          <w:noProof/>
          <w:lang w:eastAsia="en-US"/>
        </w:rPr>
        <mc:AlternateContent>
          <mc:Choice Requires="wps">
            <w:drawing>
              <wp:anchor distT="4294967295" distB="4294967295" distL="114300" distR="114300" simplePos="0" relativeHeight="251668480" behindDoc="0" locked="0" layoutInCell="1" allowOverlap="1" wp14:anchorId="19F5FB7F" wp14:editId="27510C1A">
                <wp:simplePos x="0" y="0"/>
                <wp:positionH relativeFrom="margin">
                  <wp:posOffset>22860</wp:posOffset>
                </wp:positionH>
                <wp:positionV relativeFrom="paragraph">
                  <wp:posOffset>833119</wp:posOffset>
                </wp:positionV>
                <wp:extent cx="5763895" cy="0"/>
                <wp:effectExtent l="0" t="19050" r="27305" b="38100"/>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straightConnector1">
                          <a:avLst/>
                        </a:prstGeom>
                        <a:noFill/>
                        <a:ln w="571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34989" id="AutoShape 28" o:spid="_x0000_s1026" type="#_x0000_t32" style="position:absolute;margin-left:1.8pt;margin-top:65.6pt;width:453.85pt;height:0;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V+0wEAAJ4DAAAOAAAAZHJzL2Uyb0RvYy54bWysU8Fu2zAMvQ/YPwi6L046pOuMOD2k6y7d&#10;FqDdBzCSbAuTRIFU4uTvJ2lNWmyXYZgPgimSj3yP1Or26J04GGKLoZOL2VwKExRqG4ZOfn+6f3cj&#10;BScIGhwG08mTYXm7fvtmNcXWXOGIThsSGSRwO8VOjinFtmlYjcYDzzCakJ09koeUTRoaTTBldO+a&#10;q/n8upmQdCRUhjnf3v1yynXF73uj0re+Z5OE62TuLdWT6rkrZ7NeQTsQxNGq5zbgH7rwYEMueoG6&#10;gwRiT/YPKG8VIWOfZgp9g31vlakcMpvF/Dc2jyNEU7lkcTheZOL/B6u+HjZhS6V1dQyP8QHVDxYB&#10;NyOEwdQGnk4xD25RpGqmyO0lpRgctyR20xfUOQb2CasKx558gcz8xLGKfbqIbY5JqHy5/HD9/ubj&#10;Ugp19jXQnhMjcfps0Ivy00lOBHYY0wZDyCNFWtQycHjgVNqC9pxQqga8t87VybogplJqsczDVz7q&#10;jBWGmszorC6BJYVp2G0ciQOUPalf5Zs9r8MI90FX4NGA/hS0SFWckHdblkreaCmcyU+h/NXIBNb9&#10;TWQm4cKzxEXVssLc7lCftlQ4FisvQWX7vLBly17bNerlWa1/AgAA//8DAFBLAwQUAAYACAAAACEA&#10;5n3rT9wAAAAJAQAADwAAAGRycy9kb3ducmV2LnhtbEyPT0vDQBDF74LfYRnBi9jNH1przKaIIBU8&#10;WXvxNs2OSTU7G3a3bfz2jiDocd57vPm9ejW5QR0pxL1nA/ksA0XcervnzsD29fF6CSomZIuDZzLw&#10;RRFWzflZjZX1J36h4yZ1Sko4VmigT2mstI5tTw7jzI/E4r374DDJGTptA56k3A26yLKFdrhn+dDj&#10;SA89tZ+bgzNQ4Ho51/Mnj3Yburh+Dh9vVzfGXF5M93egEk3pLww/+IIOjTDt/IFtVIOBciFBkcu8&#10;ACX+bZ6XoHa/im5q/X9B8w0AAP//AwBQSwECLQAUAAYACAAAACEAtoM4kv4AAADhAQAAEwAAAAAA&#10;AAAAAAAAAAAAAAAAW0NvbnRlbnRfVHlwZXNdLnhtbFBLAQItABQABgAIAAAAIQA4/SH/1gAAAJQB&#10;AAALAAAAAAAAAAAAAAAAAC8BAABfcmVscy8ucmVsc1BLAQItABQABgAIAAAAIQApTDV+0wEAAJ4D&#10;AAAOAAAAAAAAAAAAAAAAAC4CAABkcnMvZTJvRG9jLnhtbFBLAQItABQABgAIAAAAIQDmfetP3AAA&#10;AAkBAAAPAAAAAAAAAAAAAAAAAC0EAABkcnMvZG93bnJldi54bWxQSwUGAAAAAAQABADzAAAANgUA&#10;AAAA&#10;" strokeweight="4.5pt">
                <w10:wrap anchorx="margin"/>
              </v:shape>
            </w:pict>
          </mc:Fallback>
        </mc:AlternateContent>
      </w:r>
      <w:r w:rsidR="00095F51" w:rsidRPr="002A58C0">
        <w:rPr>
          <w:noProof/>
          <w:lang w:eastAsia="en-US"/>
        </w:rPr>
        <w:drawing>
          <wp:anchor distT="0" distB="0" distL="114300" distR="114300" simplePos="0" relativeHeight="251655680" behindDoc="1" locked="0" layoutInCell="1" allowOverlap="1" wp14:anchorId="0CBDEFA3" wp14:editId="6D9EF20A">
            <wp:simplePos x="0" y="0"/>
            <wp:positionH relativeFrom="column">
              <wp:posOffset>-114773</wp:posOffset>
            </wp:positionH>
            <wp:positionV relativeFrom="paragraph">
              <wp:posOffset>-124460</wp:posOffset>
            </wp:positionV>
            <wp:extent cx="882650" cy="1042035"/>
            <wp:effectExtent l="0" t="0" r="0" b="0"/>
            <wp:wrapNone/>
            <wp:docPr id="102" name="Picture 10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042035"/>
                    </a:xfrm>
                    <a:prstGeom prst="rect">
                      <a:avLst/>
                    </a:prstGeom>
                    <a:noFill/>
                    <a:ln>
                      <a:noFill/>
                    </a:ln>
                  </pic:spPr>
                </pic:pic>
              </a:graphicData>
            </a:graphic>
          </wp:anchor>
        </w:drawing>
      </w:r>
      <w:r w:rsidR="00A9572D">
        <w:rPr>
          <w:noProof/>
          <w:lang w:eastAsia="en-US"/>
        </w:rPr>
        <w:t xml:space="preserve">                       </w:t>
      </w:r>
    </w:p>
    <w:p w14:paraId="3CBC2860" w14:textId="72436C68" w:rsidR="00E21443" w:rsidRPr="000816D3" w:rsidRDefault="0073350C" w:rsidP="000816D3">
      <w:pPr>
        <w:spacing w:before="240" w:after="200" w:line="480" w:lineRule="auto"/>
        <w:rPr>
          <w:rFonts w:asciiTheme="majorBidi" w:eastAsia="Yu Gothic" w:hAnsiTheme="majorBidi" w:cstheme="majorBidi"/>
          <w:b/>
          <w:bCs/>
          <w:kern w:val="2"/>
          <w:sz w:val="24"/>
          <w:szCs w:val="24"/>
          <w:lang w:eastAsia="ja-JP"/>
          <w14:ligatures w14:val="standardContextual"/>
        </w:rPr>
      </w:pPr>
      <w:r w:rsidRPr="0073350C">
        <w:rPr>
          <w:rFonts w:asciiTheme="majorBidi" w:eastAsia="Yu Gothic" w:hAnsiTheme="majorBidi" w:cstheme="majorBidi"/>
          <w:b/>
          <w:bCs/>
          <w:kern w:val="2"/>
          <w:sz w:val="24"/>
          <w:szCs w:val="24"/>
          <w:lang w:eastAsia="ja-JP"/>
          <w14:ligatures w14:val="standardContextual"/>
        </w:rPr>
        <w:t xml:space="preserve">Assessment of haematological safety of </w:t>
      </w:r>
      <w:r w:rsidRPr="0073350C">
        <w:rPr>
          <w:rFonts w:asciiTheme="majorBidi" w:eastAsia="Yu Gothic" w:hAnsiTheme="majorBidi" w:cstheme="majorBidi"/>
          <w:b/>
          <w:bCs/>
          <w:i/>
          <w:iCs/>
          <w:kern w:val="2"/>
          <w:sz w:val="24"/>
          <w:szCs w:val="24"/>
          <w:lang w:eastAsia="ja-JP"/>
          <w14:ligatures w14:val="standardContextual"/>
        </w:rPr>
        <w:t>Vinca roseus</w:t>
      </w:r>
      <w:r w:rsidRPr="0073350C">
        <w:rPr>
          <w:rFonts w:asciiTheme="majorBidi" w:eastAsia="Yu Gothic" w:hAnsiTheme="majorBidi" w:cstheme="majorBidi"/>
          <w:b/>
          <w:bCs/>
          <w:kern w:val="2"/>
          <w:sz w:val="24"/>
          <w:szCs w:val="24"/>
          <w:lang w:eastAsia="ja-JP"/>
          <w14:ligatures w14:val="standardContextual"/>
        </w:rPr>
        <w:t xml:space="preserve"> leaves extract in DMH-induced colorectal cancer in rats</w:t>
      </w:r>
      <w:r w:rsidR="000816D3">
        <w:rPr>
          <w:rFonts w:asciiTheme="majorBidi" w:eastAsia="Yu Gothic" w:hAnsiTheme="majorBidi" w:cstheme="majorBidi"/>
          <w:b/>
          <w:bCs/>
          <w:kern w:val="2"/>
          <w:sz w:val="24"/>
          <w:szCs w:val="24"/>
          <w:lang w:eastAsia="ja-JP"/>
          <w14:ligatures w14:val="standardContextual"/>
        </w:rPr>
        <w:t>.</w:t>
      </w:r>
    </w:p>
    <w:p w14:paraId="3C0E7435" w14:textId="5ED1D062" w:rsidR="008A1134" w:rsidRPr="007240F6" w:rsidRDefault="008A1134" w:rsidP="003B735A">
      <w:pPr>
        <w:pStyle w:val="Els-Abstract-head"/>
        <w:pBdr>
          <w:top w:val="none" w:sz="0" w:space="0" w:color="auto"/>
        </w:pBdr>
        <w:spacing w:after="120" w:line="240" w:lineRule="auto"/>
        <w:jc w:val="both"/>
        <w:rPr>
          <w:szCs w:val="18"/>
        </w:rPr>
      </w:pPr>
      <w:r w:rsidRPr="007240F6">
        <w:rPr>
          <w:szCs w:val="18"/>
        </w:rPr>
        <w:t>Abstract</w:t>
      </w:r>
    </w:p>
    <w:p w14:paraId="118CF218" w14:textId="76E41B93" w:rsidR="007240F6" w:rsidRPr="009536D7" w:rsidRDefault="00E21443" w:rsidP="0073350C">
      <w:pPr>
        <w:keepNext/>
        <w:framePr w:dropCap="drop" w:lines="2" w:wrap="around" w:vAnchor="text" w:hAnchor="text"/>
        <w:spacing w:line="413" w:lineRule="exact"/>
        <w:jc w:val="both"/>
        <w:textAlignment w:val="baseline"/>
        <w:rPr>
          <w:rFonts w:asciiTheme="majorBidi" w:hAnsiTheme="majorBidi" w:cstheme="majorBidi"/>
          <w:b/>
          <w:bCs/>
          <w:caps/>
          <w:position w:val="-4"/>
          <w:sz w:val="18"/>
          <w:szCs w:val="18"/>
        </w:rPr>
      </w:pPr>
      <w:r>
        <w:rPr>
          <w:rFonts w:asciiTheme="majorBidi" w:hAnsiTheme="majorBidi" w:cstheme="majorBidi"/>
          <w:b/>
          <w:bCs/>
          <w:caps/>
          <w:position w:val="-4"/>
          <w:sz w:val="53"/>
          <w:szCs w:val="53"/>
        </w:rPr>
        <w:t>E</w:t>
      </w:r>
    </w:p>
    <w:p w14:paraId="4A4FD914" w14:textId="093D23B3" w:rsidR="00E21443" w:rsidRPr="009536D7" w:rsidRDefault="00E21443" w:rsidP="0073350C">
      <w:pPr>
        <w:autoSpaceDE w:val="0"/>
        <w:autoSpaceDN w:val="0"/>
        <w:adjustRightInd w:val="0"/>
        <w:jc w:val="both"/>
        <w:rPr>
          <w:rFonts w:asciiTheme="majorBidi" w:eastAsia="STIX-Regular" w:hAnsiTheme="majorBidi" w:cstheme="majorBidi"/>
          <w:sz w:val="18"/>
          <w:szCs w:val="18"/>
        </w:rPr>
      </w:pPr>
      <w:r w:rsidRPr="009536D7">
        <w:rPr>
          <w:rFonts w:asciiTheme="majorBidi" w:eastAsia="STIX-Regular" w:hAnsiTheme="majorBidi" w:cstheme="majorBidi"/>
          <w:sz w:val="18"/>
          <w:szCs w:val="18"/>
        </w:rPr>
        <w:t xml:space="preserve">arly colorectal cancer (CRC) detection is crucial for effective treatment; however, traditional screening methods face challenges. Colonoscopy, though highly effective, has limited availability, and fecal immunochemical tests (FIT) are more accessible and cost-effective but suffer from low adherence. </w:t>
      </w:r>
      <w:r w:rsidR="00485DDF" w:rsidRPr="00485DDF">
        <w:rPr>
          <w:rFonts w:asciiTheme="majorBidi" w:hAnsiTheme="majorBidi" w:cstheme="majorBidi"/>
          <w:sz w:val="18"/>
          <w:szCs w:val="18"/>
          <w:shd w:val="clear" w:color="auto" w:fill="FFFFFF"/>
        </w:rPr>
        <w:t>This study aimed to evaluate the potential alterations in hematological parameters in rats with</w:t>
      </w:r>
      <w:r w:rsidR="00474925">
        <w:rPr>
          <w:rFonts w:asciiTheme="majorBidi" w:hAnsiTheme="majorBidi" w:cstheme="majorBidi"/>
          <w:sz w:val="18"/>
          <w:szCs w:val="18"/>
          <w:shd w:val="clear" w:color="auto" w:fill="FFFFFF"/>
        </w:rPr>
        <w:t xml:space="preserve"> 1,1 Dimethylhydrazine (</w:t>
      </w:r>
      <w:r w:rsidR="00485DDF" w:rsidRPr="00485DDF">
        <w:rPr>
          <w:rFonts w:asciiTheme="majorBidi" w:hAnsiTheme="majorBidi" w:cstheme="majorBidi"/>
          <w:sz w:val="18"/>
          <w:szCs w:val="18"/>
          <w:shd w:val="clear" w:color="auto" w:fill="FFFFFF"/>
        </w:rPr>
        <w:t>DMH</w:t>
      </w:r>
      <w:r w:rsidR="00474925">
        <w:rPr>
          <w:rFonts w:asciiTheme="majorBidi" w:hAnsiTheme="majorBidi" w:cstheme="majorBidi"/>
          <w:sz w:val="18"/>
          <w:szCs w:val="18"/>
          <w:shd w:val="clear" w:color="auto" w:fill="FFFFFF"/>
        </w:rPr>
        <w:t>)</w:t>
      </w:r>
      <w:r w:rsidR="00485DDF" w:rsidRPr="00485DDF">
        <w:rPr>
          <w:rFonts w:asciiTheme="majorBidi" w:hAnsiTheme="majorBidi" w:cstheme="majorBidi"/>
          <w:sz w:val="18"/>
          <w:szCs w:val="18"/>
          <w:shd w:val="clear" w:color="auto" w:fill="FFFFFF"/>
        </w:rPr>
        <w:t xml:space="preserve">-induced in situ colon adenocarcinoma, in addition to investigating the potential corrective effect of </w:t>
      </w:r>
      <w:r w:rsidR="00485DDF" w:rsidRPr="00474925">
        <w:rPr>
          <w:rFonts w:asciiTheme="majorBidi" w:hAnsiTheme="majorBidi" w:cstheme="majorBidi"/>
          <w:i/>
          <w:iCs/>
          <w:sz w:val="18"/>
          <w:szCs w:val="18"/>
          <w:shd w:val="clear" w:color="auto" w:fill="FFFFFF"/>
        </w:rPr>
        <w:t>Vinca roseus</w:t>
      </w:r>
      <w:r w:rsidR="00485DDF" w:rsidRPr="00485DDF">
        <w:rPr>
          <w:rFonts w:asciiTheme="majorBidi" w:hAnsiTheme="majorBidi" w:cstheme="majorBidi"/>
          <w:sz w:val="18"/>
          <w:szCs w:val="18"/>
          <w:shd w:val="clear" w:color="auto" w:fill="FFFFFF"/>
        </w:rPr>
        <w:t xml:space="preserve"> leaf extract. </w:t>
      </w:r>
      <w:r w:rsidRPr="009536D7">
        <w:rPr>
          <w:rFonts w:asciiTheme="majorBidi" w:hAnsiTheme="majorBidi" w:cstheme="majorBidi"/>
          <w:sz w:val="18"/>
          <w:szCs w:val="18"/>
        </w:rPr>
        <w:t xml:space="preserve">Subcutaneous injection of DMH (40 mg/kg) for 6 weeks was used for induction the CRC and 5-flurouracil (5-FU); (50 mg/kg, ip once weekly) for 6 weeks as a standard treatment, rats were divided into different groups and were orally administrated </w:t>
      </w:r>
      <w:r w:rsidRPr="009536D7">
        <w:rPr>
          <w:rFonts w:asciiTheme="majorBidi" w:hAnsiTheme="majorBidi" w:cstheme="majorBidi"/>
          <w:i/>
          <w:iCs/>
          <w:sz w:val="18"/>
          <w:szCs w:val="18"/>
        </w:rPr>
        <w:t>VRLE</w:t>
      </w:r>
      <w:r w:rsidRPr="009536D7">
        <w:rPr>
          <w:rFonts w:asciiTheme="majorBidi" w:hAnsiTheme="majorBidi" w:cstheme="majorBidi"/>
          <w:sz w:val="18"/>
          <w:szCs w:val="18"/>
        </w:rPr>
        <w:t xml:space="preserve"> (150 and 300 mg/kg) for six weeks.  </w:t>
      </w:r>
      <w:r w:rsidRPr="009536D7">
        <w:rPr>
          <w:rFonts w:asciiTheme="majorBidi" w:hAnsiTheme="majorBidi" w:cstheme="majorBidi"/>
          <w:color w:val="000000"/>
          <w:sz w:val="18"/>
          <w:szCs w:val="18"/>
        </w:rPr>
        <w:t>All blood-based markers have shown no significant differences (p &lt; 0.05) between the animals sacrificed at the end of the 6</w:t>
      </w:r>
      <w:r w:rsidRPr="009536D7">
        <w:rPr>
          <w:rFonts w:asciiTheme="majorBidi" w:hAnsiTheme="majorBidi" w:cstheme="majorBidi"/>
          <w:color w:val="000000"/>
          <w:sz w:val="18"/>
          <w:szCs w:val="18"/>
          <w:vertAlign w:val="superscript"/>
        </w:rPr>
        <w:t>th</w:t>
      </w:r>
      <w:r w:rsidRPr="009536D7">
        <w:rPr>
          <w:rFonts w:asciiTheme="majorBidi" w:hAnsiTheme="majorBidi" w:cstheme="majorBidi"/>
          <w:color w:val="000000"/>
          <w:sz w:val="18"/>
          <w:szCs w:val="18"/>
        </w:rPr>
        <w:t xml:space="preserve"> week of experimen</w:t>
      </w:r>
      <w:r w:rsidR="009536D7">
        <w:rPr>
          <w:rFonts w:asciiTheme="majorBidi" w:hAnsiTheme="majorBidi" w:cstheme="majorBidi"/>
          <w:color w:val="000000"/>
          <w:sz w:val="18"/>
          <w:szCs w:val="18"/>
        </w:rPr>
        <w:t xml:space="preserve">t. </w:t>
      </w:r>
      <w:r w:rsidRPr="009536D7">
        <w:rPr>
          <w:rFonts w:asciiTheme="majorBidi" w:hAnsiTheme="majorBidi" w:cstheme="majorBidi"/>
          <w:color w:val="000000"/>
          <w:sz w:val="18"/>
          <w:szCs w:val="18"/>
        </w:rPr>
        <w:t xml:space="preserve">DMH administration led to alteration in haematological parameters, including </w:t>
      </w:r>
      <w:r w:rsidRPr="009536D7">
        <w:rPr>
          <w:rFonts w:asciiTheme="majorBidi" w:hAnsiTheme="majorBidi" w:cstheme="majorBidi"/>
          <w:color w:val="000000" w:themeColor="text1"/>
          <w:sz w:val="18"/>
          <w:szCs w:val="18"/>
        </w:rPr>
        <w:t xml:space="preserve">decrease </w:t>
      </w:r>
      <w:r w:rsidRPr="009536D7">
        <w:rPr>
          <w:rFonts w:asciiTheme="majorBidi" w:hAnsiTheme="majorBidi" w:cstheme="majorBidi"/>
          <w:color w:val="000000"/>
          <w:sz w:val="18"/>
          <w:szCs w:val="18"/>
        </w:rPr>
        <w:t xml:space="preserve">in red blood cell, haematocrit, platelets count, and sever increase in monocytes, but without any significance when comparing with </w:t>
      </w:r>
      <w:r w:rsidRPr="009536D7">
        <w:rPr>
          <w:rFonts w:asciiTheme="majorBidi" w:hAnsiTheme="majorBidi" w:cstheme="majorBidi"/>
          <w:i/>
          <w:iCs/>
          <w:color w:val="000000"/>
          <w:sz w:val="18"/>
          <w:szCs w:val="18"/>
        </w:rPr>
        <w:t>VRLE</w:t>
      </w:r>
      <w:r w:rsidRPr="009536D7">
        <w:rPr>
          <w:rFonts w:asciiTheme="majorBidi" w:hAnsiTheme="majorBidi" w:cstheme="majorBidi"/>
          <w:color w:val="000000"/>
          <w:sz w:val="18"/>
          <w:szCs w:val="18"/>
        </w:rPr>
        <w:t xml:space="preserve"> groups which restored these parameters to normal when compared with standard.</w:t>
      </w:r>
    </w:p>
    <w:p w14:paraId="7D6D2F2D" w14:textId="59975E02" w:rsidR="008C7214" w:rsidRPr="00485DDF" w:rsidRDefault="00E21443" w:rsidP="00485DDF">
      <w:pPr>
        <w:jc w:val="both"/>
        <w:rPr>
          <w:lang w:val="en-US" w:eastAsia="en-US"/>
        </w:rPr>
      </w:pPr>
      <w:r w:rsidRPr="009536D7">
        <w:rPr>
          <w:rFonts w:asciiTheme="majorBidi" w:hAnsiTheme="majorBidi" w:cstheme="majorBidi"/>
          <w:b/>
          <w:bCs/>
          <w:color w:val="000000"/>
          <w:sz w:val="18"/>
          <w:szCs w:val="18"/>
        </w:rPr>
        <w:t>Key words:</w:t>
      </w:r>
      <w:r w:rsidRPr="009536D7">
        <w:rPr>
          <w:rFonts w:asciiTheme="majorBidi" w:hAnsiTheme="majorBidi" w:cstheme="majorBidi"/>
          <w:color w:val="000000"/>
          <w:sz w:val="18"/>
          <w:szCs w:val="18"/>
        </w:rPr>
        <w:t xml:space="preserve"> </w:t>
      </w:r>
      <w:r w:rsidR="003D1AF0">
        <w:rPr>
          <w:rFonts w:asciiTheme="majorBidi" w:hAnsiTheme="majorBidi" w:cstheme="majorBidi"/>
          <w:color w:val="000000"/>
          <w:sz w:val="18"/>
          <w:szCs w:val="18"/>
        </w:rPr>
        <w:t>C</w:t>
      </w:r>
      <w:r w:rsidRPr="009536D7">
        <w:rPr>
          <w:rFonts w:asciiTheme="majorBidi" w:hAnsiTheme="majorBidi" w:cstheme="majorBidi"/>
          <w:color w:val="000000"/>
          <w:sz w:val="18"/>
          <w:szCs w:val="18"/>
        </w:rPr>
        <w:t xml:space="preserve">olorectal cancer, DMH, </w:t>
      </w:r>
      <w:r w:rsidR="00485DDF" w:rsidRPr="009536D7">
        <w:rPr>
          <w:rFonts w:asciiTheme="majorBidi" w:hAnsiTheme="majorBidi" w:cstheme="majorBidi"/>
          <w:sz w:val="18"/>
          <w:szCs w:val="18"/>
        </w:rPr>
        <w:t>5-flurouracil</w:t>
      </w:r>
      <w:r w:rsidR="00485DDF">
        <w:rPr>
          <w:rFonts w:asciiTheme="majorBidi" w:hAnsiTheme="majorBidi" w:cstheme="majorBidi"/>
          <w:sz w:val="18"/>
          <w:szCs w:val="18"/>
        </w:rPr>
        <w:t>,</w:t>
      </w:r>
      <w:r w:rsidRPr="009536D7">
        <w:rPr>
          <w:rFonts w:asciiTheme="majorBidi" w:hAnsiTheme="majorBidi" w:cstheme="majorBidi"/>
          <w:color w:val="000000"/>
          <w:sz w:val="18"/>
          <w:szCs w:val="18"/>
        </w:rPr>
        <w:t xml:space="preserve"> </w:t>
      </w:r>
      <w:r w:rsidR="003D1AF0" w:rsidRPr="009536D7">
        <w:rPr>
          <w:rFonts w:asciiTheme="majorBidi" w:hAnsiTheme="majorBidi" w:cstheme="majorBidi"/>
          <w:color w:val="000000"/>
          <w:sz w:val="18"/>
          <w:szCs w:val="18"/>
        </w:rPr>
        <w:t>haematocrit</w:t>
      </w:r>
      <w:r w:rsidR="003D1AF0">
        <w:rPr>
          <w:rFonts w:asciiTheme="majorBidi" w:hAnsiTheme="majorBidi" w:cstheme="majorBidi"/>
          <w:color w:val="000000"/>
          <w:sz w:val="18"/>
          <w:szCs w:val="18"/>
        </w:rPr>
        <w:t>,</w:t>
      </w:r>
      <w:r w:rsidR="003D1AF0" w:rsidRPr="009536D7">
        <w:rPr>
          <w:rFonts w:asciiTheme="majorBidi" w:hAnsiTheme="majorBidi" w:cstheme="majorBidi"/>
          <w:color w:val="000000"/>
          <w:sz w:val="18"/>
          <w:szCs w:val="18"/>
        </w:rPr>
        <w:t xml:space="preserve"> </w:t>
      </w:r>
      <w:r w:rsidRPr="009536D7">
        <w:rPr>
          <w:rFonts w:asciiTheme="majorBidi" w:hAnsiTheme="majorBidi" w:cstheme="majorBidi"/>
          <w:color w:val="000000"/>
          <w:sz w:val="18"/>
          <w:szCs w:val="18"/>
        </w:rPr>
        <w:t>leukocytes, platelets</w:t>
      </w:r>
      <w:r w:rsidR="00485DDF">
        <w:rPr>
          <w:rFonts w:asciiTheme="majorBidi" w:hAnsiTheme="majorBidi" w:cstheme="majorBidi"/>
          <w:color w:val="000000"/>
          <w:sz w:val="18"/>
          <w:szCs w:val="18"/>
          <w:lang w:val="en-US"/>
        </w:rPr>
        <w:t>.</w:t>
      </w:r>
    </w:p>
    <w:p w14:paraId="65CE1D5B" w14:textId="77777777" w:rsidR="00AA09E0" w:rsidRDefault="00AA09E0" w:rsidP="009536D7">
      <w:pPr>
        <w:pStyle w:val="Els-1storder-head"/>
        <w:numPr>
          <w:ilvl w:val="0"/>
          <w:numId w:val="0"/>
        </w:numPr>
        <w:spacing w:before="0" w:after="120" w:line="240" w:lineRule="auto"/>
        <w:jc w:val="both"/>
        <w:rPr>
          <w:rFonts w:asciiTheme="majorBidi" w:hAnsiTheme="majorBidi" w:cstheme="majorBidi"/>
          <w:u w:val="single"/>
        </w:rPr>
        <w:sectPr w:rsidR="00AA09E0" w:rsidSect="00075F18">
          <w:headerReference w:type="even" r:id="rId10"/>
          <w:headerReference w:type="default" r:id="rId11"/>
          <w:footerReference w:type="even" r:id="rId12"/>
          <w:footerReference w:type="default" r:id="rId13"/>
          <w:footerReference w:type="first" r:id="rId14"/>
          <w:type w:val="continuous"/>
          <w:pgSz w:w="11906" w:h="16838" w:code="9"/>
          <w:pgMar w:top="1418" w:right="1418" w:bottom="1418" w:left="2127" w:header="964" w:footer="964" w:gutter="0"/>
          <w:pgNumType w:start="1"/>
          <w:cols w:space="480"/>
          <w:titlePg/>
        </w:sectPr>
      </w:pPr>
    </w:p>
    <w:p w14:paraId="7792C7A3" w14:textId="251305B1" w:rsidR="008A1134" w:rsidRPr="007240F6" w:rsidRDefault="00A9572D" w:rsidP="003B735A">
      <w:pPr>
        <w:pStyle w:val="Els-1storder-head"/>
        <w:numPr>
          <w:ilvl w:val="0"/>
          <w:numId w:val="0"/>
        </w:numPr>
        <w:spacing w:before="0" w:after="120" w:line="240" w:lineRule="auto"/>
        <w:rPr>
          <w:rFonts w:asciiTheme="majorBidi" w:hAnsiTheme="majorBidi" w:cstheme="majorBidi"/>
        </w:rPr>
      </w:pPr>
      <w:r w:rsidRPr="007240F6">
        <w:rPr>
          <w:rFonts w:asciiTheme="majorBidi" w:hAnsiTheme="majorBidi" w:cstheme="majorBidi"/>
          <w:u w:val="single"/>
        </w:rPr>
        <w:t>Introduction</w:t>
      </w:r>
      <w:r w:rsidR="009F3924" w:rsidRPr="007240F6">
        <w:rPr>
          <w:rFonts w:asciiTheme="majorBidi" w:hAnsiTheme="majorBidi" w:cstheme="majorBidi"/>
        </w:rPr>
        <w:t xml:space="preserve"> </w:t>
      </w:r>
    </w:p>
    <w:p w14:paraId="5E9D9D8A" w14:textId="77777777" w:rsidR="00890AAE" w:rsidRDefault="00890AAE" w:rsidP="003B735A">
      <w:pPr>
        <w:ind w:firstLine="709"/>
        <w:jc w:val="both"/>
        <w:rPr>
          <w:rFonts w:asciiTheme="majorBidi" w:hAnsiTheme="majorBidi" w:cstheme="majorBidi"/>
        </w:rPr>
      </w:pPr>
      <w:r w:rsidRPr="00890AAE">
        <w:rPr>
          <w:rFonts w:asciiTheme="majorBidi" w:hAnsiTheme="majorBidi" w:cstheme="majorBidi"/>
          <w:color w:val="1F1F1F"/>
        </w:rPr>
        <w:t>Colorectal cancer (CRC) is a major global health risk, with the greatest incidence and mortality rates among cancer patients</w:t>
      </w:r>
      <w:r>
        <w:rPr>
          <w:rFonts w:asciiTheme="majorBidi" w:hAnsiTheme="majorBidi" w:cstheme="majorBidi"/>
          <w:color w:val="1F1F1F"/>
        </w:rPr>
        <w:t>.</w:t>
      </w:r>
      <w:r w:rsidR="00D82FAD">
        <w:rPr>
          <w:rFonts w:asciiTheme="majorBidi" w:hAnsiTheme="majorBidi" w:cstheme="majorBidi"/>
          <w:color w:val="00B0F0"/>
        </w:rPr>
        <w:t xml:space="preserve"> </w:t>
      </w:r>
      <w:r>
        <w:rPr>
          <w:rFonts w:asciiTheme="majorBidi" w:hAnsiTheme="majorBidi" w:cstheme="majorBidi"/>
          <w:color w:val="000000" w:themeColor="text1"/>
        </w:rPr>
        <w:t>S</w:t>
      </w:r>
      <w:r w:rsidR="00E21443" w:rsidRPr="009E19DD">
        <w:rPr>
          <w:rFonts w:asciiTheme="majorBidi" w:hAnsiTheme="majorBidi" w:cstheme="majorBidi"/>
          <w:color w:val="000000" w:themeColor="text1"/>
        </w:rPr>
        <w:t>omatic mutations in oncogenes and tumor suppressor genes in colonic stem cells are what cause colorectal cancer (CRC) to start and spread</w:t>
      </w:r>
      <w:r>
        <w:rPr>
          <w:rFonts w:asciiTheme="majorBidi" w:hAnsiTheme="majorBidi" w:cstheme="majorBidi"/>
          <w:color w:val="000000" w:themeColor="text1"/>
        </w:rPr>
        <w:t xml:space="preserve"> </w:t>
      </w:r>
      <w:r w:rsidRPr="009E19DD">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 ExcludeAuth="1"&gt;&lt;Author&gt;Sedlak&lt;/Author&gt;&lt;Year&gt;2023&lt;/Year&gt;&lt;RecNum&gt;6&lt;/RecNum&gt;&lt;DisplayText&gt;[2]&lt;/DisplayText&gt;&lt;record&gt;&lt;rec-number&gt;6&lt;/rec-number&gt;&lt;foreign-keys&gt;&lt;key app="EN" db-id="p50etfvw0vx2rxeas51ppx2udswf5rra0x99" timestamp="0"&gt;6&lt;/key&gt;&lt;/foreign-keys&gt;&lt;ref-type name="Journal Article"&gt;17&lt;/ref-type&gt;&lt;contributors&gt;&lt;authors&gt;&lt;author&gt;Sedlak, Joseph C&lt;/author&gt;&lt;author&gt;Yilmaz, Ömer H&lt;/author&gt;&lt;author&gt;Roper, Jatin&lt;/author&gt;&lt;/authors&gt;&lt;/contributors&gt;&lt;titles&gt;&lt;title&gt;Metabolism and colorectal cancer&lt;/title&gt;&lt;secondary-title&gt;Annual Review of Pathology: Mechanisms of Disease&lt;/secondary-title&gt;&lt;/titles&gt;&lt;pages&gt;467-492&lt;/pages&gt;&lt;volume&gt;18&lt;/volume&gt;&lt;number&gt;1&lt;/number&gt;&lt;dates&gt;&lt;year&gt;2023&lt;/year&gt;&lt;/dates&gt;&lt;isbn&gt;1553-4006&lt;/isbn&gt;&lt;urls&gt;&lt;/urls&gt;&lt;/record&gt;&lt;/Cite&gt;&lt;/EndNote&gt;</w:instrText>
      </w:r>
      <w:r w:rsidRPr="009E19DD">
        <w:rPr>
          <w:rFonts w:asciiTheme="majorBidi" w:hAnsiTheme="majorBidi" w:cstheme="majorBidi"/>
          <w:color w:val="00B0F0"/>
        </w:rPr>
        <w:fldChar w:fldCharType="separate"/>
      </w:r>
      <w:r>
        <w:rPr>
          <w:rFonts w:asciiTheme="majorBidi" w:hAnsiTheme="majorBidi" w:cstheme="majorBidi"/>
          <w:noProof/>
          <w:color w:val="00B0F0"/>
        </w:rPr>
        <w:t>[</w:t>
      </w:r>
      <w:r>
        <w:rPr>
          <w:rFonts w:asciiTheme="majorBidi" w:hAnsiTheme="majorBidi" w:cstheme="majorBidi" w:hint="cs"/>
          <w:noProof/>
          <w:color w:val="00B0F0"/>
          <w:rtl/>
        </w:rPr>
        <w:t>1</w:t>
      </w:r>
      <w:r>
        <w:rPr>
          <w:rFonts w:asciiTheme="majorBidi" w:hAnsiTheme="majorBidi" w:cstheme="majorBidi"/>
          <w:noProof/>
          <w:color w:val="00B0F0"/>
        </w:rPr>
        <w:t>]</w:t>
      </w:r>
      <w:r w:rsidRPr="009E19DD">
        <w:rPr>
          <w:rFonts w:asciiTheme="majorBidi" w:hAnsiTheme="majorBidi" w:cstheme="majorBidi"/>
          <w:color w:val="00B0F0"/>
        </w:rPr>
        <w:fldChar w:fldCharType="end"/>
      </w:r>
      <w:r w:rsidR="00E21443" w:rsidRPr="009E19DD">
        <w:rPr>
          <w:rFonts w:asciiTheme="majorBidi" w:hAnsiTheme="majorBidi" w:cstheme="majorBidi"/>
          <w:color w:val="000000" w:themeColor="text1"/>
        </w:rPr>
        <w:t>.</w:t>
      </w:r>
      <w:r w:rsidR="00D82FAD" w:rsidRPr="00D82FAD">
        <w:rPr>
          <w:rFonts w:asciiTheme="majorBidi" w:hAnsiTheme="majorBidi" w:cstheme="majorBidi"/>
        </w:rPr>
        <w:t xml:space="preserve"> </w:t>
      </w:r>
      <w:r w:rsidR="00D82FAD" w:rsidRPr="009E19DD">
        <w:rPr>
          <w:rFonts w:asciiTheme="majorBidi" w:hAnsiTheme="majorBidi" w:cstheme="majorBidi"/>
        </w:rPr>
        <w:t xml:space="preserve">Colorectal cancer continues to be the second most common cause of cancer-related deaths globally, despite improvements in surgical methods, chemotherapy, and radiation therapy </w:t>
      </w:r>
      <w:r w:rsidR="00D82FAD" w:rsidRPr="009E19DD">
        <w:rPr>
          <w:rFonts w:asciiTheme="majorBidi" w:hAnsiTheme="majorBidi" w:cstheme="majorBidi"/>
          <w:color w:val="00B0F0"/>
        </w:rPr>
        <w:fldChar w:fldCharType="begin"/>
      </w:r>
      <w:r w:rsidR="00D82FAD">
        <w:rPr>
          <w:rFonts w:asciiTheme="majorBidi" w:hAnsiTheme="majorBidi" w:cstheme="majorBidi"/>
          <w:color w:val="00B0F0"/>
        </w:rPr>
        <w:instrText xml:space="preserve"> ADDIN EN.CITE &lt;EndNote&gt;&lt;Cite ExcludeAuth="1"&gt;&lt;Author&gt;Shinji&lt;/Author&gt;&lt;Year&gt;2022&lt;/Year&gt;&lt;RecNum&gt;7&lt;/RecNum&gt;&lt;DisplayText&gt;[1]&lt;/DisplayText&gt;&lt;record&gt;&lt;rec-number&gt;7&lt;/rec-number&gt;&lt;foreign-keys&gt;&lt;key app="EN" db-id="p50etfvw0vx2rxeas51ppx2udswf5rra0x99" timestamp="0"&gt;7&lt;/key&gt;&lt;/foreign-keys&gt;&lt;ref-type name="Journal Article"&gt;17&lt;/ref-type&gt;&lt;contributors&gt;&lt;authors&gt;&lt;author&gt;Shinji, Seiichi&lt;/author&gt;&lt;author&gt;Yamada, Takeshi&lt;/author&gt;&lt;author&gt;Matsuda, Akihisa&lt;/author&gt;&lt;author&gt;Sonoda, Hiromichi&lt;/author&gt;&lt;author&gt;Ohta, Ryo&lt;/author&gt;&lt;author&gt;Iwai, Takuma&lt;/author&gt;&lt;author&gt;Takeda, Koki&lt;/author&gt;&lt;author&gt;Yonaga, Kazuhide&lt;/author&gt;&lt;author&gt;Masuda, Yuka&lt;/author&gt;&lt;author&gt;Yoshida, Hiroshi&lt;/author&gt;&lt;/authors&gt;&lt;/contributors&gt;&lt;titles&gt;&lt;title&gt;Recent advances in the treatment of colorectal cancer: a review&lt;/title&gt;&lt;secondary-title&gt;Journal of Nippon Medical School&lt;/secondary-title&gt;&lt;/titles&gt;&lt;pages&gt;246-254&lt;/pages&gt;&lt;volume&gt;89&lt;/volume&gt;&lt;number&gt;3&lt;/number&gt;&lt;dates&gt;&lt;year&gt;2022&lt;/year&gt;&lt;/dates&gt;&lt;isbn&gt;1345-4676&lt;/isbn&gt;&lt;urls&gt;&lt;/urls&gt;&lt;/record&gt;&lt;/Cite&gt;&lt;/EndNote&gt;</w:instrText>
      </w:r>
      <w:r w:rsidR="00D82FAD" w:rsidRPr="009E19DD">
        <w:rPr>
          <w:rFonts w:asciiTheme="majorBidi" w:hAnsiTheme="majorBidi" w:cstheme="majorBidi"/>
          <w:color w:val="00B0F0"/>
        </w:rPr>
        <w:fldChar w:fldCharType="separate"/>
      </w:r>
      <w:r w:rsidR="00D82FAD">
        <w:rPr>
          <w:rFonts w:asciiTheme="majorBidi" w:hAnsiTheme="majorBidi" w:cstheme="majorBidi"/>
          <w:noProof/>
          <w:color w:val="00B0F0"/>
        </w:rPr>
        <w:t>[2]</w:t>
      </w:r>
      <w:r w:rsidR="00D82FAD" w:rsidRPr="009E19DD">
        <w:rPr>
          <w:rFonts w:asciiTheme="majorBidi" w:hAnsiTheme="majorBidi" w:cstheme="majorBidi"/>
          <w:color w:val="00B0F0"/>
        </w:rPr>
        <w:fldChar w:fldCharType="end"/>
      </w:r>
      <w:r w:rsidR="00D82FAD" w:rsidRPr="009E19DD">
        <w:rPr>
          <w:rFonts w:asciiTheme="majorBidi" w:hAnsiTheme="majorBidi" w:cstheme="majorBidi"/>
          <w:color w:val="00B0F0"/>
        </w:rPr>
        <w:t>.</w:t>
      </w:r>
      <w:r w:rsidR="00E21443" w:rsidRPr="009E19DD">
        <w:rPr>
          <w:rFonts w:asciiTheme="majorBidi" w:hAnsiTheme="majorBidi" w:cstheme="majorBidi"/>
          <w:color w:val="00B0F0"/>
        </w:rPr>
        <w:t xml:space="preserve"> </w:t>
      </w:r>
      <w:r w:rsidR="00E21443"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 ExcludeAuth="1"&gt;&lt;Author&gt;Fernandez-Muñoz&lt;/Author&gt;&lt;Year&gt;2025&lt;/Year&gt;&lt;RecNum&gt;4&lt;/RecNum&gt;&lt;DisplayText&gt;[3]&lt;/DisplayText&gt;&lt;record&gt;&lt;rec-number&gt;4&lt;/rec-number&gt;&lt;foreign-keys&gt;&lt;key app="EN" db-id="p50etfvw0vx2rxeas51ppx2udswf5rra0x99" timestamp="0"&gt;4&lt;/key&gt;&lt;/foreign-keys&gt;&lt;ref-type name="Journal Article"&gt;17&lt;/ref-type&gt;&lt;contributors&gt;&lt;authors&gt;&lt;author&gt;Fernandez-Muñoz, Karen Vanessa&lt;/author&gt;&lt;author&gt;Sánchez-Barrera, Cuauhtémoc Ángel&lt;/author&gt;&lt;author&gt;Meraz-Ríos, Marco&lt;/author&gt;&lt;author&gt;Reyes, Jose Luis&lt;/author&gt;&lt;author&gt;Pérez-Yépez, Eloy Andrés&lt;/author&gt;&lt;author&gt;Ortiz-Melo, Maria Teresa&lt;/author&gt;&lt;author&gt;Terrazas, Luis I&lt;/author&gt;&lt;author&gt;Mendoza-Rodriguez, Monica Graciela&lt;/author&gt;&lt;/authors&gt;&lt;/contributors&gt;&lt;titles&gt;&lt;title&gt;Natural alternatives in the treatment of colorectal Cancer: a mechanisms perspective&lt;/title&gt;&lt;secondary-title&gt;Biomolecules&lt;/secondary-title&gt;&lt;/titles&gt;&lt;pages&gt;326&lt;/pages&gt;&lt;volume&gt;15&lt;/volume&gt;&lt;number&gt;3&lt;/number&gt;&lt;dates&gt;&lt;year&gt;2025&lt;/year&gt;&lt;/dates&gt;&lt;isbn&gt;2218-273X&lt;/isbn&gt;&lt;urls&gt;&lt;/urls&gt;&lt;/record&gt;&lt;/Cite&gt;&lt;/EndNote&gt;</w:instrText>
      </w:r>
      <w:r w:rsidR="00E21443" w:rsidRPr="009E19DD">
        <w:rPr>
          <w:rFonts w:asciiTheme="majorBidi" w:hAnsiTheme="majorBidi" w:cstheme="majorBidi"/>
          <w:color w:val="00B0F0"/>
        </w:rPr>
        <w:fldChar w:fldCharType="separate"/>
      </w:r>
      <w:r w:rsidR="00586342">
        <w:rPr>
          <w:rFonts w:asciiTheme="majorBidi" w:hAnsiTheme="majorBidi" w:cstheme="majorBidi"/>
          <w:noProof/>
          <w:color w:val="00B0F0"/>
        </w:rPr>
        <w:t>[3]</w:t>
      </w:r>
      <w:r w:rsidR="00E21443" w:rsidRPr="009E19DD">
        <w:rPr>
          <w:rFonts w:asciiTheme="majorBidi" w:hAnsiTheme="majorBidi" w:cstheme="majorBidi"/>
          <w:color w:val="00B0F0"/>
        </w:rPr>
        <w:fldChar w:fldCharType="end"/>
      </w:r>
      <w:r w:rsidR="00E21443" w:rsidRPr="009E19DD">
        <w:rPr>
          <w:rFonts w:asciiTheme="majorBidi" w:hAnsiTheme="majorBidi" w:cstheme="majorBidi"/>
        </w:rPr>
        <w:t xml:space="preserve"> observed that the two main categories of CRC's etiological origin are sporadic, which accounts for 80% of all instances, and inherited, which accounts for about 20%. Acquired somatic mutations and epigenetic changes linked to a number of modifiable lifestyle risk factors accumulate to cause sporadic colorectal cancer. </w:t>
      </w:r>
      <w:r w:rsidR="00E21443"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&lt;EndNote&gt;&lt;Cite&gt;&lt;Author&gt;Siegel&lt;/Author&gt;&lt;Year&gt;2020&lt;/Year&gt;&lt;RecNum&gt;8&lt;/RecNum&gt;&lt;DisplayText&gt;[4]&lt;/DisplayText&gt;&lt;record&gt;&lt;rec-number&gt;8&lt;/rec-number&gt;&lt;foreign-keys&gt;&lt;key app="EN" db-id="p50etfvw0vx2rxeas51ppx2udswf5rra0x99" timestamp="0"&gt;8&lt;/key&gt;&lt;/foreign-keys&gt;&lt;ref-type name="Journal Article"&gt;17&lt;/ref-type&gt;&lt;contributors&gt;&lt;authors&gt;&lt;author&gt;Siegel, Rebecca L&lt;/author&gt;&lt;author&gt;Miller, Kimberly D&lt;/author&gt;&lt;author&gt;Goding Sauer, Ann&lt;/author&gt;&lt;author&gt;Fedewa, Stacey A&lt;/author&gt;&lt;author&gt;Butterly, Lynn F&lt;/author&gt;&lt;author&gt;Anderson, Joseph C&lt;/author&gt;&lt;author&gt;Cercek, Andrea&lt;/author&gt;&lt;author&gt;Smith, Robert A&lt;/author&gt;&lt;author&gt;Jemal, Ahmedin&lt;/author&gt;&lt;/authors&gt;&lt;/contributors&gt;&lt;titles&gt;&lt;title&gt;Colorectal cancer statistics, 2020&lt;/title&gt;&lt;secondary-title&gt;CA: a cancer journal for clinicians&lt;/secondary-title&gt;&lt;/titles&gt;&lt;pages&gt;145-164&lt;/pages&gt;&lt;volume&gt;70&lt;/volume&gt;&lt;number&gt;3&lt;/number&gt;&lt;dates&gt;&lt;year&gt;2020&lt;/year&gt;&lt;/dates&gt;&lt;isbn&gt;0007-9235&lt;/isbn&gt;&lt;urls&gt;&lt;/urls&gt;&lt;/record&gt;&lt;/Cite&gt;&lt;/EndNote&gt;</w:instrText>
      </w:r>
      <w:r w:rsidR="00E21443" w:rsidRPr="009E19DD">
        <w:rPr>
          <w:rFonts w:asciiTheme="majorBidi" w:hAnsiTheme="majorBidi" w:cstheme="majorBidi"/>
          <w:color w:val="00B0F0"/>
        </w:rPr>
        <w:fldChar w:fldCharType="separate"/>
      </w:r>
      <w:r w:rsidR="00586342">
        <w:rPr>
          <w:rFonts w:asciiTheme="majorBidi" w:hAnsiTheme="majorBidi" w:cstheme="majorBidi"/>
          <w:noProof/>
          <w:color w:val="00B0F0"/>
        </w:rPr>
        <w:t>[4]</w:t>
      </w:r>
      <w:r w:rsidR="00E21443" w:rsidRPr="009E19DD">
        <w:rPr>
          <w:rFonts w:asciiTheme="majorBidi" w:hAnsiTheme="majorBidi" w:cstheme="majorBidi"/>
          <w:color w:val="00B0F0"/>
        </w:rPr>
        <w:fldChar w:fldCharType="end"/>
      </w:r>
      <w:r w:rsidR="00E21443" w:rsidRPr="009E19DD">
        <w:rPr>
          <w:rFonts w:asciiTheme="majorBidi" w:hAnsiTheme="majorBidi" w:cstheme="majorBidi"/>
        </w:rPr>
        <w:t xml:space="preserve"> found that risk factors that may be changed, such smoking, eating poorly, drinking too </w:t>
      </w:r>
    </w:p>
    <w:p w14:paraId="398F3814" w14:textId="77777777" w:rsidR="00890AAE" w:rsidRDefault="00890AAE" w:rsidP="003B735A">
      <w:pPr>
        <w:ind w:firstLine="709"/>
        <w:jc w:val="both"/>
        <w:rPr>
          <w:rFonts w:asciiTheme="majorBidi" w:hAnsiTheme="majorBidi" w:cstheme="majorBidi"/>
        </w:rPr>
      </w:pPr>
    </w:p>
    <w:p w14:paraId="48A0EF42" w14:textId="77777777" w:rsidR="00890AAE" w:rsidRDefault="00890AAE" w:rsidP="003B735A">
      <w:pPr>
        <w:ind w:firstLine="709"/>
        <w:jc w:val="both"/>
        <w:rPr>
          <w:rFonts w:asciiTheme="majorBidi" w:hAnsiTheme="majorBidi" w:cstheme="majorBidi"/>
        </w:rPr>
      </w:pPr>
    </w:p>
    <w:p w14:paraId="31FA4E36" w14:textId="3EE7DF1D" w:rsidR="00E21443" w:rsidRPr="009E19DD" w:rsidRDefault="00E21443" w:rsidP="00890AAE">
      <w:pPr>
        <w:jc w:val="both"/>
        <w:rPr>
          <w:rFonts w:asciiTheme="majorBidi" w:hAnsiTheme="majorBidi" w:cstheme="majorBidi"/>
        </w:rPr>
      </w:pPr>
      <w:r w:rsidRPr="009E19DD">
        <w:rPr>
          <w:rFonts w:asciiTheme="majorBidi" w:hAnsiTheme="majorBidi" w:cstheme="majorBidi"/>
        </w:rPr>
        <w:t>much alcohol, not exercising, and being overweight, account for more over half of all cases and deaths.</w:t>
      </w:r>
      <w:r w:rsidR="00890AAE">
        <w:rPr>
          <w:rFonts w:asciiTheme="majorBidi" w:hAnsiTheme="majorBidi" w:cstheme="majorBidi"/>
        </w:rPr>
        <w:t xml:space="preserve"> </w:t>
      </w:r>
      <w:r w:rsidRPr="009E19DD">
        <w:rPr>
          <w:rFonts w:asciiTheme="majorBidi" w:hAnsiTheme="majorBidi" w:cstheme="majorBidi"/>
        </w:rPr>
        <w:t xml:space="preserve">1, 2-dimethylhydrazine (DMH) is the most commonly utilized chemical to promote colon cancer in animal studies. DMH, a strong colon carcinogen that causes colorectal tumors, is similar to human colorectal cancer in many ways, including how it reacts to certain preventative and promotional drugs. The multistep process of DMH-induced colon cancer includes a number of pathological alterations, including the creation of aberrant cryptic foci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&lt;EndNote&gt;&lt;Cite&gt;&lt;Author&gt;El-Khadragy&lt;/Author&gt;&lt;Year&gt;2018&lt;/Year&gt;&lt;RecNum&gt;3&lt;/RecNum&gt;&lt;DisplayText&gt;[5]&lt;/DisplayText&gt;&lt;record&gt;&lt;rec-number&gt;3&lt;/rec-number&gt;&lt;foreign-keys&gt;&lt;key app="EN" db-id="p50etfvw0vx2rxeas51ppx2udswf5rra0x99" timestamp="0"&gt;3&lt;/key&gt;&lt;/foreign-keys&gt;&lt;ref-type name="Journal Article"&gt;17&lt;/ref-type&gt;&lt;contributors&gt;&lt;authors&gt;&lt;author&gt;El-Khadragy, Manal F&lt;/author&gt;&lt;author&gt;Nabil, Heba M&lt;/author&gt;&lt;author&gt;Hassan, Basmaa N&lt;/author&gt;&lt;author&gt;Tohamy, Amany A&lt;/author&gt;&lt;author&gt;Waaer, Hanaa F&lt;/author&gt;&lt;author&gt;Yehia, Hany M&lt;/author&gt;&lt;author&gt;Alharbi, Afra M&lt;/author&gt;&lt;author&gt;Moneim, Ahmed Esmat Abdel&lt;/author&gt;&lt;/authors&gt;&lt;/contributors&gt;&lt;titles&gt;&lt;title&gt;Bone marrow cell therapy on 1, 2-dimethylhydrazine (DMH)-induced colon cancer in rats&lt;/title&gt;&lt;secondary-title&gt;Cellular Physiology and Biochemistry&lt;/secondary-title&gt;&lt;/titles&gt;&lt;pages&gt;1072-1083&lt;/pages&gt;&lt;volume&gt;45&lt;/volume&gt;&lt;number&gt;3&lt;/number&gt;&lt;dates&gt;&lt;year&gt;2018&lt;/year&gt;&lt;/dates&gt;&lt;isbn&gt;1015-8987&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[5]</w:t>
      </w:r>
      <w:r w:rsidRPr="009E19DD">
        <w:rPr>
          <w:rFonts w:asciiTheme="majorBidi" w:hAnsiTheme="majorBidi" w:cstheme="majorBidi"/>
          <w:color w:val="00B0F0"/>
        </w:rPr>
        <w:fldChar w:fldCharType="end"/>
      </w:r>
      <w:r w:rsidRPr="009E19DD">
        <w:rPr>
          <w:rFonts w:asciiTheme="majorBidi" w:hAnsiTheme="majorBidi" w:cstheme="majorBidi"/>
          <w:color w:val="00B0F0"/>
        </w:rPr>
        <w:t>.</w:t>
      </w:r>
    </w:p>
    <w:p w14:paraId="6A972DC1" w14:textId="2588DF68" w:rsidR="00E21443" w:rsidRPr="009E19DD" w:rsidRDefault="00E21443" w:rsidP="003B735A">
      <w:pPr>
        <w:jc w:val="both"/>
        <w:rPr>
          <w:rFonts w:asciiTheme="majorBidi" w:hAnsiTheme="majorBidi" w:cstheme="majorBidi"/>
          <w:color w:val="000000" w:themeColor="text1"/>
        </w:rPr>
      </w:pP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&lt;EndNote&gt;&lt;Cite&gt;&lt;Author&gt;Tabakam&lt;/Author&gt;&lt;Year&gt;2024&lt;/Year&gt;&lt;RecNum&gt;9&lt;/RecNum&gt;&lt;DisplayText&gt;[6]&lt;/DisplayText&gt;&lt;record&gt;&lt;rec-number&gt;9&lt;/rec-number&gt;&lt;foreign-keys&gt;&lt;key app="EN" db-id="p50etfvw0vx2rxeas51ppx2udswf5rra0x99" timestamp="0"&gt;9&lt;/key&gt;&lt;/foreign-keys&gt;&lt;ref-type name="Journal Article"&gt;17&lt;/ref-type&gt;&lt;contributors&gt;&lt;authors&gt;&lt;author&gt;Tabakam, Tchangou Gaetan&lt;/author&gt;&lt;author&gt;Makhafola, Tshepiso Jan&lt;/author&gt;&lt;/authors&gt;&lt;/contributors&gt;&lt;titles&gt;&lt;title&gt;Plant-Derived Alkaloids as a Potential Source of Treatment for Colorectal Cancer over the Past Five Years: A Comprehensive Review&lt;/title&gt;&lt;secondary-title&gt;Plants&lt;/secondary-title&gt;&lt;/titles&gt;&lt;pages&gt;2723&lt;/pages&gt;&lt;volume&gt;13&lt;/volume&gt;&lt;number&gt;19&lt;/number&gt;&lt;dates&gt;&lt;year&gt;2024&lt;/year&gt;&lt;/dates&gt;&lt;isbn&gt;2223-7747&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[6]</w:t>
      </w:r>
      <w:r w:rsidRPr="009E19DD">
        <w:rPr>
          <w:rFonts w:asciiTheme="majorBidi" w:hAnsiTheme="majorBidi" w:cstheme="majorBidi"/>
          <w:color w:val="00B0F0"/>
        </w:rPr>
        <w:fldChar w:fldCharType="end"/>
      </w:r>
      <w:r w:rsidRPr="009E19DD">
        <w:rPr>
          <w:rFonts w:asciiTheme="majorBidi" w:hAnsiTheme="majorBidi" w:cstheme="majorBidi"/>
          <w:color w:val="000000" w:themeColor="text1"/>
        </w:rPr>
        <w:t xml:space="preserve"> reported that a number of advancements in the treatment of colorectal cancer, including radiotherapy, surgery, and chemotherapy, particularly irinotecan or 5-fluorouracil, had greatly improved the management of CRC detected at high levels. Nevertheless, a number of issues still arise throughout these treatments, including the toxicity of side effects, </w:t>
      </w:r>
      <w:r w:rsidRPr="009E19DD">
        <w:rPr>
          <w:rFonts w:asciiTheme="majorBidi" w:hAnsiTheme="majorBidi" w:cstheme="majorBidi"/>
          <w:color w:val="000000" w:themeColor="text1"/>
        </w:rPr>
        <w:lastRenderedPageBreak/>
        <w:t>therapeutic failures linked to small-molecule medications, and the quick decline in effectiveness of monoclonal antibody therapies.</w:t>
      </w:r>
    </w:p>
    <w:p w14:paraId="0716461E" w14:textId="2D626F9E" w:rsidR="009536D7" w:rsidRDefault="00586342" w:rsidP="003B735A">
      <w:pPr>
        <w:jc w:val="both"/>
        <w:rPr>
          <w:rFonts w:asciiTheme="majorBidi" w:hAnsiTheme="majorBidi" w:cstheme="majorBidi"/>
          <w:color w:val="000000" w:themeColor="text1"/>
        </w:rPr>
      </w:pPr>
      <w:r w:rsidRPr="00586342">
        <w:rPr>
          <w:rFonts w:asciiTheme="majorBidi" w:hAnsiTheme="majorBidi" w:cstheme="majorBidi"/>
          <w:color w:val="000000" w:themeColor="text1"/>
        </w:rPr>
        <w:t>Medicinal plants represent a rich source of structurally diverse bioactive compounds with significant therapeutic potential. The therapeutic properties of medicinal plants are mainly attributed to their phytochemical composition, including phenolics, alkaloids, terpenoids, and flavonoids, which exhibit a wide range of pharmacological activities. Therefore, medicinal plants are considered an important resource for drug discovery and development</w:t>
      </w:r>
      <w:r>
        <w:rPr>
          <w:rFonts w:asciiTheme="majorBidi" w:hAnsiTheme="majorBidi" w:cstheme="majorBidi"/>
          <w:color w:val="000000" w:themeColor="text1"/>
        </w:rPr>
        <w:t xml:space="preserve"> </w:t>
      </w:r>
      <w:r w:rsidRPr="00586342">
        <w:rPr>
          <w:rFonts w:asciiTheme="majorBidi" w:hAnsiTheme="majorBidi" w:cstheme="majorBidi"/>
          <w:color w:val="00B0F0"/>
        </w:rPr>
        <w:fldChar w:fldCharType="begin"/>
      </w:r>
      <w:r>
        <w:rPr>
          <w:rFonts w:asciiTheme="majorBidi" w:hAnsiTheme="majorBidi" w:cstheme="majorBidi"/>
          <w:color w:val="00B0F0"/>
        </w:rPr>
        <w:instrText xml:space="preserve"> ADDIN EN.CITE &lt;EndNote&gt;&lt;Cite&gt;&lt;Author&gt;Latif&lt;/Author&gt;&lt;Year&gt;2025&lt;/Year&gt;&lt;RecNum&gt;47&lt;/RecNum&gt;&lt;DisplayText&gt;[7]&lt;/DisplayText&gt;&lt;record&gt;&lt;rec-number&gt;47&lt;/rec-number&gt;&lt;foreign-keys&gt;&lt;key app="EN" db-id="p50etfvw0vx2rxeas51ppx2udswf5rra0x99" timestamp="1770628902"&gt;47&lt;/key&gt;&lt;/foreign-keys&gt;&lt;ref-type name="Journal Article"&gt;17&lt;/ref-type&gt;&lt;contributors&gt;&lt;authors&gt;&lt;author&gt;Latif, Riffat&lt;/author&gt;&lt;author&gt;Nawaz, Taufiq&lt;/author&gt;&lt;/authors&gt;&lt;/contributors&gt;&lt;titles&gt;&lt;title&gt;Medicinal plants and human health: A comprehensive review of bioactive compounds, therapeutic effects, and applications&lt;/title&gt;&lt;secondary-title&gt;Phytochemistry Reviews&lt;/secondary-title&gt;&lt;/titles&gt;&lt;periodical&gt;&lt;full-title&gt;Phytochemistry Reviews&lt;/full-title&gt;&lt;/periodical&gt;&lt;pages&gt;1-44&lt;/pages&gt;&lt;dates&gt;&lt;year&gt;2025&lt;/year&gt;&lt;/dates&gt;&lt;isbn&gt;1572-980X&lt;/isbn&gt;&lt;urls&gt;&lt;/urls&gt;&lt;/record&gt;&lt;/Cite&gt;&lt;/EndNote&gt;</w:instrText>
      </w:r>
      <w:r w:rsidRPr="00586342">
        <w:rPr>
          <w:rFonts w:asciiTheme="majorBidi" w:hAnsiTheme="majorBidi" w:cstheme="majorBidi"/>
          <w:color w:val="00B0F0"/>
        </w:rPr>
        <w:fldChar w:fldCharType="separate"/>
      </w:r>
      <w:r>
        <w:rPr>
          <w:rFonts w:asciiTheme="majorBidi" w:hAnsiTheme="majorBidi" w:cstheme="majorBidi"/>
          <w:noProof/>
          <w:color w:val="00B0F0"/>
        </w:rPr>
        <w:t>[7]</w:t>
      </w:r>
      <w:r w:rsidRPr="00586342">
        <w:rPr>
          <w:rFonts w:asciiTheme="majorBidi" w:hAnsiTheme="majorBidi" w:cstheme="majorBidi"/>
          <w:color w:val="00B0F0"/>
        </w:rPr>
        <w:fldChar w:fldCharType="end"/>
      </w:r>
      <w:r w:rsidRPr="00586342">
        <w:rPr>
          <w:rFonts w:asciiTheme="majorBidi" w:hAnsiTheme="majorBidi" w:cstheme="majorBidi"/>
          <w:color w:val="000000" w:themeColor="text1"/>
        </w:rPr>
        <w:t xml:space="preserve">. </w:t>
      </w:r>
      <w:r w:rsidR="00E21443" w:rsidRPr="009E19DD">
        <w:rPr>
          <w:rFonts w:asciiTheme="majorBidi" w:hAnsiTheme="majorBidi" w:cstheme="majorBidi"/>
          <w:color w:val="000000" w:themeColor="text1"/>
        </w:rPr>
        <w:t xml:space="preserve">As a major source of natural remedies and herbal items, traditional Chinese medicine (TCM) is crucial for the exploitation of anti-CRC medications. As one of the most successful strategies to treat colorectal cancer (CRC), TCM may have anti-CRC effects in a number of targets and pathways while reducing the harmful side effects of surgery, chemotherapy, </w:t>
      </w:r>
    </w:p>
    <w:p w14:paraId="3CE83268" w14:textId="77777777" w:rsidR="009536D7" w:rsidRDefault="009536D7" w:rsidP="003B735A">
      <w:pPr>
        <w:jc w:val="both"/>
        <w:rPr>
          <w:rFonts w:asciiTheme="majorBidi" w:hAnsiTheme="majorBidi" w:cstheme="majorBidi"/>
          <w:color w:val="000000" w:themeColor="text1"/>
        </w:rPr>
      </w:pPr>
    </w:p>
    <w:p w14:paraId="0D71237A" w14:textId="77777777" w:rsidR="009536D7" w:rsidRDefault="009536D7" w:rsidP="003B735A">
      <w:pPr>
        <w:jc w:val="both"/>
        <w:rPr>
          <w:rFonts w:asciiTheme="majorBidi" w:hAnsiTheme="majorBidi" w:cstheme="majorBidi"/>
          <w:color w:val="000000" w:themeColor="text1"/>
        </w:rPr>
      </w:pPr>
    </w:p>
    <w:p w14:paraId="205B1F97" w14:textId="486ABBB6" w:rsidR="003D42CC" w:rsidRDefault="00E21443" w:rsidP="003B735A">
      <w:pPr>
        <w:jc w:val="both"/>
        <w:rPr>
          <w:rFonts w:asciiTheme="majorBidi" w:hAnsiTheme="majorBidi" w:cstheme="majorBidi"/>
          <w:color w:val="000000" w:themeColor="text1"/>
        </w:rPr>
      </w:pPr>
      <w:r w:rsidRPr="009E19DD">
        <w:rPr>
          <w:rFonts w:asciiTheme="majorBidi" w:hAnsiTheme="majorBidi" w:cstheme="majorBidi"/>
          <w:color w:val="000000" w:themeColor="text1"/>
        </w:rPr>
        <w:t xml:space="preserve">radiation, target therapy, and immunotherapy and extending patient survival. According to experimental research, TCM and its constituents can successfully stop the growth of CRC cells, trigger apoptosis, stop </w:t>
      </w:r>
    </w:p>
    <w:p w14:paraId="0C04BD97" w14:textId="77777777" w:rsidR="003D42CC" w:rsidRDefault="003D42CC" w:rsidP="003B735A">
      <w:pPr>
        <w:ind w:firstLine="142"/>
        <w:jc w:val="both"/>
        <w:rPr>
          <w:rFonts w:asciiTheme="majorBidi" w:hAnsiTheme="majorBidi" w:cstheme="majorBidi"/>
          <w:color w:val="000000" w:themeColor="text1"/>
        </w:rPr>
      </w:pPr>
    </w:p>
    <w:p w14:paraId="44C33189" w14:textId="75B6B9B7" w:rsidR="00E21443" w:rsidRPr="009E19DD" w:rsidRDefault="00E21443" w:rsidP="003B735A">
      <w:pPr>
        <w:ind w:firstLine="142"/>
        <w:jc w:val="both"/>
        <w:rPr>
          <w:rFonts w:asciiTheme="majorBidi" w:hAnsiTheme="majorBidi" w:cstheme="majorBidi"/>
        </w:rPr>
      </w:pPr>
      <w:r w:rsidRPr="009E19DD">
        <w:rPr>
          <w:rFonts w:asciiTheme="majorBidi" w:hAnsiTheme="majorBidi" w:cstheme="majorBidi"/>
          <w:color w:val="000000" w:themeColor="text1"/>
        </w:rPr>
        <w:t xml:space="preserve">the cell cycle, encourage cell autophagy, and prevent angiogenesis. They also have an anti-CRC impact when used in conjunction with chemotherapy and radiation therapy. One of the key strategies for treating colorectal cancer is controlling signaling pathways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&lt;EndNote&gt;&lt;Cite&gt;&lt;Author&gt;Chen&lt;/Author&gt;&lt;Year&gt;2023&lt;/Year&gt;&lt;RecNum&gt;10&lt;/RecNum&gt;&lt;DisplayText&gt;[8]&lt;/DisplayText&gt;&lt;record&gt;&lt;rec-number&gt;10&lt;/rec-number&gt;&lt;foreign-keys&gt;&lt;key app="EN" db-id="p50etfvw0vx2rxeas51ppx2udswf5rra0x99" timestamp="0"&gt;10&lt;/key&gt;&lt;/foreign-keys&gt;&lt;ref-type name="Journal Article"&gt;17&lt;/ref-type&gt;&lt;contributors&gt;&lt;authors&gt;&lt;author&gt;Chen, Jin-Fang&lt;/author&gt;&lt;author&gt;Wu, Shi-Wei&lt;/author&gt;&lt;author&gt;Shi, Zi-Man&lt;/author&gt;&lt;author&gt;Hu, Bing&lt;/author&gt;&lt;/authors&gt;&lt;/contributors&gt;&lt;titles&gt;&lt;title&gt;Traditional Chinese medicine for colorectal cancer treatment: potential targets and mechanisms of action&lt;/title&gt;&lt;secondary-title&gt;Chinese Medicine&lt;/secondary-title&gt;&lt;/titles&gt;&lt;pages&gt;14&lt;/pages&gt;&lt;volume&gt;18&lt;/volume&gt;&lt;number&gt;1&lt;/number&gt;&lt;dates&gt;&lt;year&gt;2023&lt;/year&gt;&lt;/dates&gt;&lt;isbn&gt;1749-8546&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[8]</w:t>
      </w:r>
      <w:r w:rsidRPr="009E19DD">
        <w:rPr>
          <w:rFonts w:asciiTheme="majorBidi" w:hAnsiTheme="majorBidi" w:cstheme="majorBidi"/>
          <w:color w:val="00B0F0"/>
        </w:rPr>
        <w:fldChar w:fldCharType="end"/>
      </w:r>
      <w:r w:rsidRPr="009E19DD">
        <w:rPr>
          <w:rFonts w:asciiTheme="majorBidi" w:hAnsiTheme="majorBidi" w:cstheme="majorBidi"/>
          <w:color w:val="00B0F0"/>
        </w:rPr>
        <w:t xml:space="preserve">. </w:t>
      </w:r>
      <w:r w:rsidRPr="009E19DD">
        <w:rPr>
          <w:rFonts w:asciiTheme="majorBidi" w:hAnsiTheme="majorBidi" w:cstheme="majorBidi"/>
        </w:rPr>
        <w:t xml:space="preserve">Ancient plant-based treatments called </w:t>
      </w:r>
      <w:r w:rsidRPr="009E19DD">
        <w:rPr>
          <w:rFonts w:asciiTheme="majorBidi" w:hAnsiTheme="majorBidi" w:cstheme="majorBidi"/>
          <w:i/>
          <w:iCs/>
        </w:rPr>
        <w:t>Vinca alkaloids</w:t>
      </w:r>
      <w:r w:rsidRPr="009E19DD">
        <w:rPr>
          <w:rFonts w:asciiTheme="majorBidi" w:hAnsiTheme="majorBidi" w:cstheme="majorBidi"/>
        </w:rPr>
        <w:t xml:space="preserve">, such as vinblastine and vincristine, are frequently used to treat malignancies like melanoma. Phenolic chemicals, cruciferous vegetables, benzopyrans, and Dillenia indica fruits are further natural substances utilized in the treatment of cancer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&lt;EndNote&gt;&lt;Cite&gt;&lt;Author&gt;Khan&lt;/Author&gt;&lt;Year&gt;2025&lt;/Year&gt;&lt;RecNum&gt;11&lt;/RecNum&gt;&lt;DisplayText&gt;[9]&lt;/DisplayText&gt;&lt;record&gt;&lt;rec-number&gt;11&lt;/rec-number&gt;&lt;foreign-keys&gt;&lt;key app="EN" db-id="p50etfvw0vx2rxeas51ppx2udswf5rra0x99" timestamp="0"&gt;11&lt;/key&gt;&lt;/foreign-keys&gt;&lt;ref-type name="Journal Article"&gt;17&lt;/ref-type&gt;&lt;contributors&gt;&lt;authors&gt;&lt;author&gt;Khan, Afsana&lt;/author&gt;&lt;author&gt;Maparu, Kousik&lt;/author&gt;&lt;author&gt;Aran, Khadga Raj&lt;/author&gt;&lt;/authors&gt;&lt;/contributors&gt;&lt;titles&gt;&lt;title&gt;Catharanthus roseus: A Comprehensive Review of Its Phytochemicals, Therapeutic Potential, and Mechanisms of Action&lt;/title&gt;&lt;secondary-title&gt;Nature Cell and Science&lt;/secondary-title&gt;&lt;/titles&gt;&lt;pages&gt;000-000&lt;/pages&gt;&lt;number&gt;000&lt;/number&gt;&lt;dates&gt;&lt;year&gt;2025&lt;/year&gt;&lt;/dates&gt;&lt;urls&gt;&lt;/urls&gt;&lt;/record&gt;&lt;/Cite&gt;&lt;/EndNote&gt;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[9]</w:t>
      </w:r>
      <w:r w:rsidRPr="009E19DD">
        <w:rPr>
          <w:rFonts w:asciiTheme="majorBidi" w:hAnsiTheme="majorBidi" w:cstheme="majorBidi"/>
          <w:color w:val="00B0F0"/>
        </w:rPr>
        <w:fldChar w:fldCharType="end"/>
      </w:r>
      <w:r w:rsidRPr="009E19DD">
        <w:rPr>
          <w:rFonts w:asciiTheme="majorBidi" w:hAnsiTheme="majorBidi" w:cstheme="majorBidi"/>
        </w:rPr>
        <w:t>.</w:t>
      </w:r>
    </w:p>
    <w:p w14:paraId="0F50283E" w14:textId="21D70F05" w:rsidR="00E21443" w:rsidRPr="009E19DD" w:rsidRDefault="00E21443" w:rsidP="003B735A">
      <w:pPr>
        <w:ind w:firstLine="142"/>
        <w:jc w:val="both"/>
        <w:rPr>
          <w:rFonts w:asciiTheme="majorBidi" w:hAnsiTheme="majorBidi" w:cstheme="majorBidi"/>
        </w:rPr>
      </w:pPr>
      <w:r w:rsidRPr="009E19DD">
        <w:rPr>
          <w:rFonts w:asciiTheme="majorBidi" w:hAnsiTheme="majorBidi" w:cstheme="majorBidi"/>
        </w:rPr>
        <w:t xml:space="preserve">Despite several attempts to create trustworthy biomarkers, identifying the best biomarkers for colorectal cancer is still difficult. Unfortunately, a lot of the biomarkers that have been studied have limitations that prevent them from being used in clinical practice. These limitations include expensive costs, long turnaround times, and limited diagnostic and prognostic accuracy. One of the most important laboratory tests is a complete blood count. By analyzing several factors, it offers a plethora of information on the immune system and blood cells. Additionally, it has several benefits, like being affordable, easy to use, and accessible in various departments, including the critical care unit and the emergency room. Therefore, using this laboratory test is essential to improving patient care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&lt;EndNote&gt;&lt;Cite&gt;&lt;Author&gt;Alsalman&lt;/Author&gt;&lt;Year&gt;2022&lt;/Year&gt;&lt;RecNum&gt;2&lt;/RecNum&gt;&lt;DisplayText&gt;[10]&lt;/DisplayText&gt;&lt;record&gt;&lt;rec-number&gt;2&lt;/rec-number&gt;&lt;foreign-keys&gt;&lt;key app="EN" db-id="p50etfvw0vx2rxeas51ppx2udswf5rra0x99" timestamp="0"&gt;2&lt;/key&gt;&lt;/foreign-keys&gt;&lt;ref-type name="Journal Article"&gt;17&lt;/ref-type&gt;&lt;contributors&gt;&lt;authors&gt;&lt;author&gt;Alsalman, Alhasan&lt;/author&gt;&lt;author&gt;Al-Mterin, Mohammad A&lt;/author&gt;&lt;author&gt;Abu-Dayeh, Ala&lt;/author&gt;&lt;author&gt;Alloush, Ferial&lt;/author&gt;&lt;author&gt;Murshed, Khaled&lt;/author&gt;&lt;author&gt;Elkord, Eyad&lt;/author&gt;&lt;/authors&gt;&lt;/contributors&gt;&lt;titles&gt;&lt;title&gt;Associations of complete blood count parameters with disease-free survival in right-and left-sided colorectal cancer patients&lt;/title&gt;&lt;secondary-title&gt;Journal of personalized medicine&lt;/secondary-title&gt;&lt;/titles&gt;&lt;periodical&gt;&lt;full-title&gt;Journal of personalized medicine&lt;/full-title&gt;&lt;/periodical&gt;&lt;pages&gt;816&lt;/pages&gt;&lt;volume&gt;12&lt;/volume&gt;&lt;number&gt;5&lt;/number&gt;&lt;dates&gt;&lt;year&gt;2022&lt;/year&gt;&lt;/dates&gt;&lt;isbn&gt;2075-4426&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[10]</w:t>
      </w:r>
      <w:r w:rsidRPr="009E19DD">
        <w:rPr>
          <w:rFonts w:asciiTheme="majorBidi" w:hAnsiTheme="majorBidi" w:cstheme="majorBidi"/>
          <w:color w:val="00B0F0"/>
        </w:rPr>
        <w:fldChar w:fldCharType="end"/>
      </w:r>
      <w:r w:rsidRPr="009E19DD">
        <w:rPr>
          <w:rFonts w:asciiTheme="majorBidi" w:hAnsiTheme="majorBidi" w:cstheme="majorBidi"/>
        </w:rPr>
        <w:t>.</w:t>
      </w:r>
    </w:p>
    <w:p w14:paraId="74E63830" w14:textId="6DB6EFCA" w:rsidR="00C94680" w:rsidRPr="009E19DD" w:rsidRDefault="00C94680" w:rsidP="003B735A">
      <w:pPr>
        <w:ind w:firstLine="142"/>
        <w:jc w:val="both"/>
        <w:rPr>
          <w:rFonts w:asciiTheme="majorBidi" w:hAnsiTheme="majorBidi" w:cstheme="majorBidi"/>
        </w:rPr>
      </w:pPr>
      <w:r w:rsidRPr="00C94680">
        <w:rPr>
          <w:rFonts w:asciiTheme="majorBidi" w:hAnsiTheme="majorBidi" w:cstheme="majorBidi"/>
        </w:rPr>
        <w:t xml:space="preserve">The aim of the present study was to evaluate the potential anticancer activity of </w:t>
      </w:r>
      <w:r w:rsidRPr="00C94680">
        <w:rPr>
          <w:rFonts w:asciiTheme="majorBidi" w:hAnsiTheme="majorBidi" w:cstheme="majorBidi"/>
          <w:i/>
          <w:iCs/>
        </w:rPr>
        <w:t xml:space="preserve">Vinca roseus </w:t>
      </w:r>
      <w:r w:rsidRPr="00C94680">
        <w:rPr>
          <w:rFonts w:asciiTheme="majorBidi" w:hAnsiTheme="majorBidi" w:cstheme="majorBidi"/>
        </w:rPr>
        <w:t>leaf extract in a DMH-induced colorectal cancer rat model. To achieve this aim, the following assessments were performed</w:t>
      </w:r>
      <w:r>
        <w:rPr>
          <w:rFonts w:asciiTheme="majorBidi" w:hAnsiTheme="majorBidi" w:cstheme="majorBidi"/>
        </w:rPr>
        <w:t>:</w:t>
      </w:r>
    </w:p>
    <w:p w14:paraId="433528A7" w14:textId="40E7BB74" w:rsidR="00E21443" w:rsidRPr="009E19DD" w:rsidRDefault="00E21443" w:rsidP="003B735A">
      <w:pPr>
        <w:numPr>
          <w:ilvl w:val="0"/>
          <w:numId w:val="42"/>
        </w:numPr>
        <w:spacing w:after="160"/>
        <w:ind w:left="0" w:firstLine="142"/>
        <w:contextualSpacing/>
        <w:jc w:val="both"/>
        <w:rPr>
          <w:rFonts w:asciiTheme="majorBidi" w:hAnsiTheme="majorBidi" w:cstheme="majorBidi"/>
        </w:rPr>
      </w:pPr>
      <w:r w:rsidRPr="009E19DD">
        <w:rPr>
          <w:rFonts w:asciiTheme="majorBidi" w:hAnsiTheme="majorBidi" w:cstheme="majorBidi"/>
        </w:rPr>
        <w:t>Complete blood count: Erythrogram, leukogram, platelet count.</w:t>
      </w:r>
    </w:p>
    <w:p w14:paraId="199B09E4" w14:textId="77777777" w:rsidR="005B0723" w:rsidRDefault="005B0723" w:rsidP="00890AAE">
      <w:pPr>
        <w:spacing w:before="120" w:after="120"/>
        <w:jc w:val="both"/>
        <w:rPr>
          <w:rFonts w:asciiTheme="majorBidi" w:hAnsiTheme="majorBidi" w:cstheme="majorBidi"/>
          <w:b/>
          <w:bCs/>
          <w:color w:val="000000" w:themeColor="text1"/>
          <w:u w:val="single"/>
        </w:rPr>
      </w:pPr>
    </w:p>
    <w:p w14:paraId="37B75699" w14:textId="6BD73044" w:rsidR="003D42CC" w:rsidRPr="005B0723" w:rsidRDefault="002E2C50" w:rsidP="005B0723">
      <w:pPr>
        <w:spacing w:before="120" w:after="120"/>
        <w:ind w:firstLine="142"/>
        <w:jc w:val="both"/>
        <w:rPr>
          <w:rFonts w:asciiTheme="majorBidi" w:hAnsiTheme="majorBidi" w:cstheme="majorBidi"/>
          <w:b/>
          <w:bCs/>
          <w:color w:val="000000" w:themeColor="text1"/>
          <w:u w:val="single"/>
        </w:rPr>
      </w:pPr>
      <w:r w:rsidRPr="009106A5">
        <w:rPr>
          <w:rFonts w:asciiTheme="majorBidi" w:hAnsiTheme="majorBidi" w:cstheme="majorBidi"/>
          <w:b/>
          <w:bCs/>
          <w:color w:val="000000" w:themeColor="text1"/>
          <w:u w:val="single"/>
        </w:rPr>
        <w:t>Material and Methods</w:t>
      </w:r>
      <w:bookmarkStart w:id="1" w:name="_Hlk219002701"/>
    </w:p>
    <w:p w14:paraId="472188F2" w14:textId="4717D914" w:rsidR="00E21443" w:rsidRPr="009E19DD" w:rsidRDefault="00E21443" w:rsidP="003B735A">
      <w:pPr>
        <w:ind w:firstLine="142"/>
        <w:jc w:val="both"/>
        <w:rPr>
          <w:rFonts w:asciiTheme="majorBidi" w:hAnsiTheme="majorBidi" w:cstheme="majorBidi"/>
          <w:b/>
          <w:bCs/>
          <w:lang w:bidi="ar-EG"/>
        </w:rPr>
      </w:pPr>
      <w:r w:rsidRPr="009E19DD">
        <w:rPr>
          <w:rFonts w:asciiTheme="majorBidi" w:hAnsiTheme="majorBidi" w:cstheme="majorBidi"/>
          <w:b/>
          <w:bCs/>
        </w:rPr>
        <w:t xml:space="preserve">Preparation of DMH </w:t>
      </w:r>
      <w:r w:rsidRPr="009E19DD">
        <w:rPr>
          <w:rFonts w:asciiTheme="majorBidi" w:hAnsiTheme="majorBidi" w:cstheme="majorBidi"/>
          <w:b/>
          <w:bCs/>
          <w:lang w:bidi="ar-EG"/>
        </w:rPr>
        <w:t>Plant part used</w:t>
      </w:r>
    </w:p>
    <w:p w14:paraId="6C8F98C8" w14:textId="44CFB46C" w:rsidR="00E21443" w:rsidRPr="009E19DD" w:rsidRDefault="00E21443" w:rsidP="00890AAE">
      <w:pPr>
        <w:ind w:firstLine="720"/>
        <w:jc w:val="both"/>
        <w:rPr>
          <w:rFonts w:asciiTheme="majorBidi" w:hAnsiTheme="majorBidi" w:cstheme="majorBidi"/>
        </w:rPr>
      </w:pPr>
      <w:r w:rsidRPr="009E19DD">
        <w:rPr>
          <w:rFonts w:asciiTheme="majorBidi" w:hAnsiTheme="majorBidi" w:cstheme="majorBidi"/>
          <w:color w:val="000000"/>
        </w:rPr>
        <w:t>About</w:t>
      </w:r>
      <w:r w:rsidRPr="009E19DD">
        <w:rPr>
          <w:rFonts w:asciiTheme="majorBidi" w:hAnsiTheme="majorBidi" w:cstheme="majorBidi"/>
          <w:i/>
          <w:iCs/>
          <w:color w:val="000000"/>
        </w:rPr>
        <w:t xml:space="preserve"> </w:t>
      </w:r>
      <w:r w:rsidRPr="009E19DD">
        <w:rPr>
          <w:rFonts w:asciiTheme="majorBidi" w:hAnsiTheme="majorBidi" w:cstheme="majorBidi"/>
          <w:color w:val="000000"/>
        </w:rPr>
        <w:t xml:space="preserve">500 g of </w:t>
      </w:r>
      <w:r w:rsidRPr="009E19DD">
        <w:rPr>
          <w:rFonts w:asciiTheme="majorBidi" w:hAnsiTheme="majorBidi" w:cstheme="majorBidi"/>
          <w:i/>
          <w:iCs/>
          <w:color w:val="000000"/>
        </w:rPr>
        <w:t>Vinca roseus</w:t>
      </w:r>
      <w:r w:rsidRPr="009E19DD">
        <w:rPr>
          <w:rFonts w:asciiTheme="majorBidi" w:hAnsiTheme="majorBidi" w:cstheme="majorBidi"/>
          <w:color w:val="000000"/>
        </w:rPr>
        <w:t xml:space="preserve"> leaves have been purchased from Alfyroz Garden®, Benha, Egypt</w:t>
      </w:r>
      <w:r w:rsidRPr="009E19DD">
        <w:rPr>
          <w:rFonts w:asciiTheme="majorBidi" w:hAnsiTheme="majorBidi" w:cstheme="majorBidi"/>
        </w:rPr>
        <w:t xml:space="preserve"> in March 2023</w:t>
      </w:r>
      <w:r w:rsidRPr="009E19DD">
        <w:rPr>
          <w:rFonts w:asciiTheme="majorBidi" w:hAnsiTheme="majorBidi" w:cstheme="majorBidi"/>
          <w:color w:val="000000"/>
        </w:rPr>
        <w:t>. The plant was identified and confirmed by Dr. Mustafa Hamza Mohamed, Assistant professor of vegetable crops, Horticulture, Faculty of Agriculture, Benha University (Voucher number 23192)</w:t>
      </w:r>
      <w:r w:rsidRPr="009E19DD">
        <w:rPr>
          <w:rFonts w:asciiTheme="majorBidi" w:hAnsiTheme="majorBidi" w:cstheme="majorBidi"/>
        </w:rPr>
        <w:t>.</w:t>
      </w:r>
    </w:p>
    <w:p w14:paraId="5BE52DEF" w14:textId="7EDDF52D" w:rsidR="00E21443" w:rsidRPr="009E19DD" w:rsidRDefault="00E21443" w:rsidP="003B735A">
      <w:pPr>
        <w:ind w:firstLine="142"/>
        <w:jc w:val="center"/>
        <w:rPr>
          <w:rFonts w:asciiTheme="majorBidi" w:hAnsiTheme="majorBidi" w:cstheme="majorBidi"/>
          <w:color w:val="000000"/>
        </w:rPr>
      </w:pPr>
    </w:p>
    <w:p w14:paraId="4486D7FE" w14:textId="77777777" w:rsidR="00E21443" w:rsidRPr="009E19DD" w:rsidRDefault="00E21443" w:rsidP="003B735A">
      <w:pPr>
        <w:jc w:val="both"/>
        <w:rPr>
          <w:rFonts w:asciiTheme="majorBidi" w:hAnsiTheme="majorBidi" w:cstheme="majorBidi"/>
          <w:b/>
          <w:bCs/>
        </w:rPr>
      </w:pPr>
      <w:r w:rsidRPr="009E19DD">
        <w:rPr>
          <w:rFonts w:asciiTheme="majorBidi" w:hAnsiTheme="majorBidi" w:cstheme="majorBidi"/>
          <w:b/>
          <w:bCs/>
        </w:rPr>
        <w:t xml:space="preserve">Preparation of </w:t>
      </w:r>
      <w:r w:rsidRPr="009E19DD">
        <w:rPr>
          <w:rFonts w:asciiTheme="majorBidi" w:hAnsiTheme="majorBidi" w:cstheme="majorBidi"/>
          <w:b/>
          <w:bCs/>
          <w:i/>
          <w:iCs/>
        </w:rPr>
        <w:t>Vinca roseus</w:t>
      </w:r>
      <w:r w:rsidRPr="009E19DD">
        <w:rPr>
          <w:rFonts w:asciiTheme="majorBidi" w:hAnsiTheme="majorBidi" w:cstheme="majorBidi"/>
          <w:b/>
          <w:bCs/>
        </w:rPr>
        <w:t xml:space="preserve"> leaves extract (</w:t>
      </w:r>
      <w:r w:rsidRPr="009E19DD">
        <w:rPr>
          <w:rFonts w:asciiTheme="majorBidi" w:hAnsiTheme="majorBidi" w:cstheme="majorBidi"/>
          <w:b/>
          <w:bCs/>
          <w:i/>
          <w:iCs/>
        </w:rPr>
        <w:t>VRE</w:t>
      </w:r>
      <w:r w:rsidRPr="009E19DD">
        <w:rPr>
          <w:rFonts w:asciiTheme="majorBidi" w:hAnsiTheme="majorBidi" w:cstheme="majorBidi"/>
          <w:b/>
          <w:bCs/>
        </w:rPr>
        <w:t>)</w:t>
      </w:r>
    </w:p>
    <w:p w14:paraId="0418FDEC" w14:textId="4028AEFE" w:rsidR="00E21443" w:rsidRPr="009E19DD" w:rsidRDefault="00E21443" w:rsidP="003B735A">
      <w:pPr>
        <w:ind w:hanging="142"/>
        <w:jc w:val="both"/>
        <w:rPr>
          <w:rFonts w:asciiTheme="majorBidi" w:hAnsiTheme="majorBidi" w:cstheme="majorBidi"/>
        </w:rPr>
      </w:pPr>
      <w:r w:rsidRPr="009E19DD">
        <w:rPr>
          <w:rFonts w:asciiTheme="majorBidi" w:hAnsiTheme="majorBidi" w:cstheme="majorBidi"/>
        </w:rPr>
        <w:t xml:space="preserve">  </w:t>
      </w:r>
      <w:r w:rsidR="00890AAE">
        <w:rPr>
          <w:rFonts w:asciiTheme="majorBidi" w:hAnsiTheme="majorBidi" w:cstheme="majorBidi"/>
        </w:rPr>
        <w:tab/>
      </w:r>
      <w:r w:rsidR="00890AAE">
        <w:rPr>
          <w:rFonts w:asciiTheme="majorBidi" w:hAnsiTheme="majorBidi" w:cstheme="majorBidi"/>
        </w:rPr>
        <w:tab/>
      </w:r>
      <w:r w:rsidRPr="009E19DD">
        <w:rPr>
          <w:rFonts w:asciiTheme="majorBidi" w:hAnsiTheme="majorBidi" w:cstheme="majorBidi"/>
        </w:rPr>
        <w:t>After cleaning the plant leaves with tap water to get rid of dirt and undesirable dust particles, distilled water was used. The leaves were then cut and allowed to dry in the shade.</w:t>
      </w:r>
      <w:r>
        <w:rPr>
          <w:rFonts w:asciiTheme="majorBidi" w:hAnsiTheme="majorBidi" w:cstheme="majorBidi"/>
        </w:rPr>
        <w:t xml:space="preserve"> </w:t>
      </w:r>
      <w:r w:rsidRPr="009E19DD">
        <w:rPr>
          <w:rFonts w:asciiTheme="majorBidi" w:hAnsiTheme="majorBidi" w:cstheme="majorBidi"/>
        </w:rPr>
        <w:t xml:space="preserve">A weighted quantity of </w:t>
      </w:r>
      <w:r w:rsidRPr="009E19DD">
        <w:rPr>
          <w:rFonts w:asciiTheme="majorBidi" w:hAnsiTheme="majorBidi" w:cstheme="majorBidi"/>
          <w:i/>
          <w:iCs/>
        </w:rPr>
        <w:t>Vinca roseus</w:t>
      </w:r>
      <w:r w:rsidRPr="009E19DD">
        <w:rPr>
          <w:rFonts w:asciiTheme="majorBidi" w:hAnsiTheme="majorBidi" w:cstheme="majorBidi"/>
        </w:rPr>
        <w:t xml:space="preserve"> leaves (500 g) was macerated with a known volume (3 litter) of 70% ethyl alcohol for the extraction. within an Erlenmeyer flask. The mixture was kept in the refrigerator with constant shaking for six days. The resulting extract was filtered through muslin mesh, concentrated in a shaking water bath set at 70ºC for three days to calculate the weight of semisolid crude extract, and then kept at 4ºC until it was ready to be administered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&lt;EndNote&gt;&lt;Cite&gt;&lt;Author&gt;Harborne&lt;/Author&gt;&lt;Year&gt;1998&lt;/Year&gt;&lt;RecNum&gt;14&lt;/RecNum&gt;&lt;DisplayText&gt;[11]&lt;/DisplayText&gt;&lt;record&gt;&lt;rec-number&gt;14&lt;/rec-number&gt;&lt;foreign-keys&gt;&lt;key app="EN" db-id="p50etfvw0vx2rxeas51ppx2udswf5rra0x99" timestamp="0"&gt;14&lt;/key&gt;&lt;/foreign-keys&gt;&lt;ref-type name="Book"&gt;6&lt;/ref-type&gt;&lt;contributors&gt;&lt;authors&gt;&lt;author&gt;Harborne, AJ&lt;/author&gt;&lt;/authors&gt;&lt;/contributors&gt;&lt;titles&gt;&lt;title&gt;Phytochemical methods a guide to modern techniques of plant analysis&lt;/title&gt;&lt;/titles&gt;&lt;dates&gt;&lt;year&gt;1998&lt;/year&gt;&lt;/dates&gt;&lt;publisher&gt;springer science &amp;amp; business media&lt;/publisher&gt;&lt;isbn&gt;0412572702&lt;/isbn&gt;&lt;urls&gt;&lt;/urls&gt;&lt;/record&gt;&lt;/Cite&gt;&lt;/EndNote&gt;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[11]</w:t>
      </w:r>
      <w:r w:rsidRPr="009E19DD">
        <w:rPr>
          <w:rFonts w:asciiTheme="majorBidi" w:hAnsiTheme="majorBidi" w:cstheme="majorBidi"/>
          <w:color w:val="00B0F0"/>
        </w:rPr>
        <w:fldChar w:fldCharType="end"/>
      </w:r>
      <w:r w:rsidRPr="009E19DD">
        <w:rPr>
          <w:rFonts w:asciiTheme="majorBidi" w:hAnsiTheme="majorBidi" w:cstheme="majorBidi"/>
          <w:color w:val="00B0F0"/>
        </w:rPr>
        <w:t>.</w:t>
      </w:r>
    </w:p>
    <w:p w14:paraId="4DD2079F" w14:textId="77777777" w:rsidR="00E21443" w:rsidRPr="009E19DD" w:rsidRDefault="00E21443" w:rsidP="003B735A">
      <w:pPr>
        <w:jc w:val="both"/>
        <w:rPr>
          <w:rFonts w:asciiTheme="majorBidi" w:hAnsiTheme="majorBidi" w:cstheme="majorBidi"/>
        </w:rPr>
      </w:pPr>
      <w:r w:rsidRPr="009E19DD">
        <w:rPr>
          <w:rFonts w:asciiTheme="majorBidi" w:hAnsiTheme="majorBidi" w:cstheme="majorBidi"/>
        </w:rPr>
        <w:t xml:space="preserve">For the high dose of </w:t>
      </w:r>
      <w:r w:rsidRPr="009E19DD">
        <w:rPr>
          <w:rFonts w:asciiTheme="majorBidi" w:hAnsiTheme="majorBidi" w:cstheme="majorBidi"/>
          <w:i/>
          <w:iCs/>
        </w:rPr>
        <w:t>VRE</w:t>
      </w:r>
      <w:r w:rsidRPr="009E19DD">
        <w:rPr>
          <w:rFonts w:asciiTheme="majorBidi" w:hAnsiTheme="majorBidi" w:cstheme="majorBidi"/>
        </w:rPr>
        <w:t>, 6 g were dissolved in 100 ml of isosaline (0.9%), and for the low dose, 3 g were dissolved in 100 ml of isosaline (0.9%) to reconstitute the concentrated yield extract (25 g from macerated 500 g). The extracts were stored in a refrigerator in dark, airtight vials. Percentage of yield was determined using the equation:</w:t>
      </w:r>
    </w:p>
    <w:p w14:paraId="0D7B4425" w14:textId="0F88ED67" w:rsidR="00E21443" w:rsidRPr="009E19DD" w:rsidRDefault="00E21443" w:rsidP="003B735A">
      <w:pPr>
        <w:jc w:val="both"/>
        <w:rPr>
          <w:rFonts w:asciiTheme="majorBidi" w:hAnsiTheme="majorBidi" w:cstheme="majorBidi"/>
          <w:color w:val="00B0F0"/>
        </w:rPr>
      </w:pPr>
      <w:r w:rsidRPr="009E19DD">
        <w:rPr>
          <w:rFonts w:asciiTheme="majorBidi" w:hAnsiTheme="majorBidi" w:cstheme="majorBidi"/>
        </w:rPr>
        <w:t xml:space="preserve">Yield% = (wt. of extract/wt. of plant) *100 according to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 ExcludeAuth="1"&gt;&lt;Author&gt;Harborne&lt;/Author&gt;&lt;Year&gt;1998&lt;/Year&gt;&lt;RecNum&gt;14&lt;/RecNum&gt;&lt;DisplayText&gt;[11]&lt;/DisplayText&gt;&lt;record&gt;&lt;rec-number&gt;14&lt;/rec-number&gt;&lt;foreign-keys&gt;&lt;key app="EN" db-id="p50etfvw0vx2rxeas51ppx2udswf5rra0x99" timestamp="0"&gt;14&lt;/key&gt;&lt;/foreign-keys&gt;&lt;ref-type name="Book"&gt;6&lt;/ref-type&gt;&lt;contributors&gt;&lt;authors&gt;&lt;author&gt;Harborne, AJ&lt;/author&gt;&lt;/authors&gt;&lt;/contributors&gt;&lt;titles&gt;&lt;title&gt;Phytochemical methods a guide to modern techniques of plant analysis&lt;/title&gt;&lt;/titles&gt;&lt;dates&gt;&lt;year&gt;1998&lt;/year&gt;&lt;/dates&gt;&lt;publisher&gt;springer science &amp;amp; business media&lt;/publisher&gt;&lt;isbn&gt;0412572702&lt;/isbn&gt;&lt;urls&gt;&lt;/urls&gt;&lt;/record&gt;&lt;/Cite&gt;&lt;/EndNote&gt;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[11]</w:t>
      </w:r>
      <w:r w:rsidRPr="009E19DD">
        <w:rPr>
          <w:rFonts w:asciiTheme="majorBidi" w:hAnsiTheme="majorBidi" w:cstheme="majorBidi"/>
          <w:color w:val="00B0F0"/>
        </w:rPr>
        <w:fldChar w:fldCharType="end"/>
      </w:r>
      <w:r w:rsidRPr="009E19DD">
        <w:rPr>
          <w:rFonts w:asciiTheme="majorBidi" w:hAnsiTheme="majorBidi" w:cstheme="majorBidi"/>
          <w:color w:val="00B0F0"/>
        </w:rPr>
        <w:t>.</w:t>
      </w:r>
    </w:p>
    <w:p w14:paraId="4CF1E9B3" w14:textId="77777777" w:rsidR="00E21443" w:rsidRPr="009E19DD" w:rsidRDefault="00E21443" w:rsidP="003B735A">
      <w:pPr>
        <w:jc w:val="both"/>
        <w:rPr>
          <w:rFonts w:asciiTheme="majorBidi" w:hAnsiTheme="majorBidi" w:cstheme="majorBidi"/>
          <w:b/>
          <w:bCs/>
        </w:rPr>
      </w:pPr>
      <w:r>
        <w:rPr>
          <w:rFonts w:asciiTheme="majorBidi" w:hAnsiTheme="majorBidi" w:cstheme="majorBidi"/>
          <w:b/>
          <w:bCs/>
        </w:rPr>
        <w:t xml:space="preserve">Determination of </w:t>
      </w:r>
      <w:r w:rsidRPr="00E34578">
        <w:rPr>
          <w:rFonts w:asciiTheme="majorBidi" w:hAnsiTheme="majorBidi" w:cstheme="majorBidi"/>
          <w:b/>
          <w:bCs/>
          <w:i/>
          <w:iCs/>
        </w:rPr>
        <w:t>VRE</w:t>
      </w:r>
      <w:r>
        <w:rPr>
          <w:rFonts w:asciiTheme="majorBidi" w:hAnsiTheme="majorBidi" w:cstheme="majorBidi"/>
          <w:b/>
          <w:bCs/>
        </w:rPr>
        <w:t xml:space="preserve"> to rats:</w:t>
      </w:r>
    </w:p>
    <w:p w14:paraId="3E216D72" w14:textId="3DEEB63C" w:rsidR="00B400D7" w:rsidRPr="009E19DD" w:rsidRDefault="00E21443" w:rsidP="00890AAE">
      <w:pPr>
        <w:ind w:firstLine="720"/>
        <w:jc w:val="both"/>
        <w:rPr>
          <w:rFonts w:asciiTheme="majorBidi" w:hAnsiTheme="majorBidi" w:cstheme="majorBidi"/>
        </w:rPr>
      </w:pPr>
      <w:r w:rsidRPr="009E19DD">
        <w:rPr>
          <w:rFonts w:asciiTheme="majorBidi" w:hAnsiTheme="majorBidi" w:cstheme="majorBidi"/>
        </w:rPr>
        <w:t xml:space="preserve">The type of plant part used and the plant's region determine the different </w:t>
      </w:r>
      <w:r w:rsidRPr="009E19DD">
        <w:rPr>
          <w:rFonts w:asciiTheme="majorBidi" w:hAnsiTheme="majorBidi" w:cstheme="majorBidi"/>
          <w:i/>
          <w:iCs/>
        </w:rPr>
        <w:t>VRE</w:t>
      </w:r>
      <w:r w:rsidRPr="009E19DD">
        <w:rPr>
          <w:rFonts w:asciiTheme="majorBidi" w:hAnsiTheme="majorBidi" w:cstheme="majorBidi"/>
        </w:rPr>
        <w:t xml:space="preserve"> dosages. Therefore, we modified two doses within the range that has been utilized in the literature.</w:t>
      </w:r>
      <w:r w:rsidR="00B400D7">
        <w:rPr>
          <w:rFonts w:asciiTheme="majorBidi" w:hAnsiTheme="majorBidi" w:cstheme="majorBidi"/>
        </w:rPr>
        <w:t xml:space="preserve"> </w:t>
      </w:r>
      <w:r w:rsidR="00B400D7" w:rsidRPr="00B400D7">
        <w:rPr>
          <w:rFonts w:asciiTheme="majorBidi" w:hAnsiTheme="majorBidi" w:cstheme="majorBidi"/>
        </w:rPr>
        <w:t xml:space="preserve">Extract concentrations prepared in our previous study were 60 mg/ml and 30 mg/ml. These were comparable to previously reported high (300 mg/kg) </w:t>
      </w:r>
      <w:r w:rsidR="00B400D7" w:rsidRPr="00B400D7">
        <w:rPr>
          <w:rFonts w:asciiTheme="majorBidi" w:hAnsiTheme="majorBidi" w:cstheme="majorBidi"/>
          <w:color w:val="00B0F0"/>
        </w:rPr>
        <w:t xml:space="preserve">[12,13] </w:t>
      </w:r>
      <w:r w:rsidR="00B400D7" w:rsidRPr="00B400D7">
        <w:rPr>
          <w:rFonts w:asciiTheme="majorBidi" w:hAnsiTheme="majorBidi" w:cstheme="majorBidi"/>
        </w:rPr>
        <w:t xml:space="preserve">and low (150 mg/kg) </w:t>
      </w:r>
      <w:r w:rsidR="00B400D7" w:rsidRPr="00B400D7">
        <w:rPr>
          <w:rFonts w:asciiTheme="majorBidi" w:hAnsiTheme="majorBidi" w:cstheme="majorBidi"/>
          <w:i/>
          <w:iCs/>
        </w:rPr>
        <w:t>VRE</w:t>
      </w:r>
      <w:r w:rsidR="00B400D7" w:rsidRPr="00B400D7">
        <w:rPr>
          <w:rFonts w:asciiTheme="majorBidi" w:hAnsiTheme="majorBidi" w:cstheme="majorBidi"/>
        </w:rPr>
        <w:t xml:space="preserve"> doses administered orally </w:t>
      </w:r>
      <w:r w:rsidR="00B400D7" w:rsidRPr="00B400D7">
        <w:rPr>
          <w:rFonts w:asciiTheme="majorBidi" w:hAnsiTheme="majorBidi" w:cstheme="majorBidi"/>
          <w:i/>
          <w:iCs/>
        </w:rPr>
        <w:t>via</w:t>
      </w:r>
      <w:r w:rsidR="00B400D7" w:rsidRPr="00B400D7">
        <w:rPr>
          <w:rFonts w:asciiTheme="majorBidi" w:hAnsiTheme="majorBidi" w:cstheme="majorBidi"/>
        </w:rPr>
        <w:t xml:space="preserve"> gastric intubation </w:t>
      </w:r>
      <w:r w:rsidR="00B400D7" w:rsidRPr="00B400D7">
        <w:rPr>
          <w:rFonts w:asciiTheme="majorBidi" w:hAnsiTheme="majorBidi" w:cstheme="majorBidi"/>
          <w:color w:val="00B0F0"/>
        </w:rPr>
        <w:t>[14,15]</w:t>
      </w:r>
      <w:r w:rsidR="00B400D7" w:rsidRPr="00B400D7">
        <w:rPr>
          <w:rFonts w:asciiTheme="majorBidi" w:hAnsiTheme="majorBidi" w:cstheme="majorBidi"/>
        </w:rPr>
        <w:t>. Dose adjustment was based on body weight, where a rat weighing approximately 200 g received 1 ml of the corresponding extract.</w:t>
      </w:r>
    </w:p>
    <w:p w14:paraId="38A3E5D6" w14:textId="77777777" w:rsidR="00E21443" w:rsidRPr="009E19DD" w:rsidRDefault="00E21443" w:rsidP="003B735A">
      <w:pPr>
        <w:jc w:val="both"/>
        <w:rPr>
          <w:rFonts w:asciiTheme="majorBidi" w:hAnsiTheme="majorBidi" w:cstheme="majorBidi"/>
          <w:b/>
          <w:bCs/>
          <w:color w:val="000000" w:themeColor="text1"/>
        </w:rPr>
      </w:pPr>
      <w:r w:rsidRPr="009E19DD">
        <w:rPr>
          <w:rFonts w:asciiTheme="majorBidi" w:hAnsiTheme="majorBidi" w:cstheme="majorBidi"/>
          <w:b/>
          <w:bCs/>
          <w:color w:val="000000" w:themeColor="text1"/>
        </w:rPr>
        <w:t>Experimental equipment</w:t>
      </w:r>
    </w:p>
    <w:p w14:paraId="24BFB961" w14:textId="53D0DB6D" w:rsidR="00315A7A" w:rsidRPr="00315A7A" w:rsidRDefault="00315A7A" w:rsidP="00315A7A">
      <w:pPr>
        <w:ind w:firstLine="851"/>
        <w:jc w:val="both"/>
        <w:rPr>
          <w:rFonts w:asciiTheme="majorBidi" w:hAnsiTheme="majorBidi" w:cstheme="majorBidi"/>
          <w:color w:val="000000" w:themeColor="text1"/>
        </w:rPr>
      </w:pPr>
      <w:r>
        <w:rPr>
          <w:rFonts w:asciiTheme="majorBidi" w:hAnsiTheme="majorBidi" w:cstheme="majorBidi"/>
          <w:color w:val="000000" w:themeColor="text1"/>
        </w:rPr>
        <w:t>An auto-hematology analyzer (Mindray®, Model BC-2800Vet, Shenzhen, China); was used to measure red blood cell count, packed cell volume (PCV), hemoglobin concentration (HGB), mean cell volume (MCV), mean cell hemoglobin, and mean cell haemoglobin concentration, leukocytic parameters, such as total white blood cell count, lymphocyte, monocytes, and platelets count.</w:t>
      </w:r>
    </w:p>
    <w:p w14:paraId="02B50967" w14:textId="271D7392" w:rsidR="00E21443" w:rsidRPr="009E19DD" w:rsidRDefault="00E21443" w:rsidP="00315A7A">
      <w:pPr>
        <w:jc w:val="both"/>
        <w:rPr>
          <w:rFonts w:asciiTheme="majorBidi" w:hAnsiTheme="majorBidi" w:cstheme="majorBidi"/>
          <w:color w:val="000000" w:themeColor="text1"/>
        </w:rPr>
      </w:pPr>
      <w:r w:rsidRPr="009E19DD">
        <w:rPr>
          <w:rFonts w:asciiTheme="majorBidi" w:hAnsiTheme="majorBidi" w:cstheme="majorBidi"/>
          <w:color w:val="000000" w:themeColor="text1"/>
        </w:rPr>
        <w:t xml:space="preserve">flasks, beakers, micropipettes, tissues, scissors, gastric tube, syringes, cylinders, </w:t>
      </w:r>
      <w:r w:rsidR="005B0723" w:rsidRPr="009E19DD">
        <w:rPr>
          <w:rFonts w:asciiTheme="majorBidi" w:hAnsiTheme="majorBidi" w:cstheme="majorBidi"/>
          <w:color w:val="000000" w:themeColor="text1"/>
        </w:rPr>
        <w:t>racks,</w:t>
      </w:r>
      <w:r w:rsidR="005B0723">
        <w:rPr>
          <w:rFonts w:asciiTheme="majorBidi" w:hAnsiTheme="majorBidi" w:cstheme="majorBidi"/>
          <w:color w:val="000000" w:themeColor="text1"/>
        </w:rPr>
        <w:t xml:space="preserve"> and</w:t>
      </w:r>
      <w:r w:rsidRPr="009E19DD">
        <w:rPr>
          <w:rFonts w:asciiTheme="majorBidi" w:hAnsiTheme="majorBidi" w:cstheme="majorBidi"/>
          <w:color w:val="000000" w:themeColor="text1"/>
        </w:rPr>
        <w:t xml:space="preserve"> stopwatch.</w:t>
      </w:r>
    </w:p>
    <w:p w14:paraId="763672E8" w14:textId="77777777" w:rsidR="00E21443" w:rsidRPr="009E19DD" w:rsidRDefault="00E21443" w:rsidP="003B735A">
      <w:pPr>
        <w:jc w:val="both"/>
        <w:rPr>
          <w:rFonts w:asciiTheme="majorBidi" w:hAnsiTheme="majorBidi" w:cstheme="majorBidi"/>
          <w:b/>
          <w:bCs/>
        </w:rPr>
      </w:pPr>
      <w:r w:rsidRPr="009E19DD">
        <w:rPr>
          <w:rFonts w:asciiTheme="majorBidi" w:hAnsiTheme="majorBidi" w:cstheme="majorBidi"/>
          <w:b/>
          <w:bCs/>
        </w:rPr>
        <w:lastRenderedPageBreak/>
        <w:t>Chemicals and reagents</w:t>
      </w:r>
    </w:p>
    <w:p w14:paraId="77A91007" w14:textId="25FE0643" w:rsidR="00621D55" w:rsidRPr="00621D55" w:rsidRDefault="00621D55" w:rsidP="00621D55">
      <w:pPr>
        <w:rPr>
          <w:rFonts w:asciiTheme="majorBidi" w:hAnsiTheme="majorBidi" w:cstheme="majorBidi"/>
        </w:rPr>
      </w:pPr>
      <w:r>
        <w:rPr>
          <w:rFonts w:asciiTheme="majorBidi" w:hAnsiTheme="majorBidi" w:cstheme="majorBidi"/>
        </w:rPr>
        <w:t xml:space="preserve"> </w:t>
      </w:r>
      <w:r w:rsidR="00890AAE">
        <w:rPr>
          <w:rFonts w:asciiTheme="majorBidi" w:hAnsiTheme="majorBidi" w:cstheme="majorBidi"/>
        </w:rPr>
        <w:tab/>
      </w:r>
      <w:r w:rsidRPr="00621D55">
        <w:rPr>
          <w:rFonts w:asciiTheme="majorBidi" w:hAnsiTheme="majorBidi" w:cstheme="majorBidi"/>
        </w:rPr>
        <w:t xml:space="preserve">1,1-Dimethylhydrazine (DMH) was purchased from Sigma Aldrich, USA, and 5-Fluorouracil (5‐FU) was purchased from Alfa Aesar, Ward Hill, USA. Organic solvents and other chemicals of analytical grade were purchased from El-Ghomhorya Company for Trading Drugs, Chemicals, and Medical Instruments, Egypt. </w:t>
      </w:r>
    </w:p>
    <w:p w14:paraId="3F3FA3C8" w14:textId="46C1099A" w:rsidR="00621D55" w:rsidRPr="009E19DD" w:rsidRDefault="00621D55" w:rsidP="00621D55">
      <w:pPr>
        <w:jc w:val="both"/>
        <w:rPr>
          <w:rFonts w:asciiTheme="majorBidi" w:hAnsiTheme="majorBidi" w:cstheme="majorBidi"/>
        </w:rPr>
      </w:pPr>
      <w:r>
        <w:rPr>
          <w:rFonts w:asciiTheme="majorBidi" w:hAnsiTheme="majorBidi" w:cstheme="majorBidi"/>
        </w:rPr>
        <w:t xml:space="preserve">    </w:t>
      </w:r>
      <w:r w:rsidRPr="00621D55">
        <w:rPr>
          <w:rFonts w:asciiTheme="majorBidi" w:hAnsiTheme="majorBidi" w:cstheme="majorBidi"/>
        </w:rPr>
        <w:t xml:space="preserve">DMH was prepared using a 1 mM EDTA solution. The treatment consisted of administering DMH subcutaneously at a dose of 40 mg/kg (1 ml) twice weekly for 6 weeks to rats weighing approximately </w:t>
      </w:r>
      <w:r w:rsidR="00B43216" w:rsidRPr="00DB3AE4">
        <w:rPr>
          <w:rFonts w:asciiTheme="majorBidi" w:eastAsia="Calibri" w:hAnsiTheme="majorBidi" w:cstheme="majorBidi"/>
        </w:rPr>
        <w:t xml:space="preserve">170 ± </w:t>
      </w:r>
      <w:r w:rsidR="00813FBF" w:rsidRPr="00DB3AE4">
        <w:rPr>
          <w:rFonts w:asciiTheme="majorBidi" w:eastAsia="Calibri" w:hAnsiTheme="majorBidi" w:cstheme="majorBidi"/>
        </w:rPr>
        <w:t xml:space="preserve">20 </w:t>
      </w:r>
      <w:r w:rsidR="00813FBF" w:rsidRPr="00621D55">
        <w:rPr>
          <w:rFonts w:asciiTheme="majorBidi" w:hAnsiTheme="majorBidi" w:cstheme="majorBidi"/>
        </w:rPr>
        <w:t>g</w:t>
      </w:r>
      <w:r w:rsidRPr="00621D55">
        <w:rPr>
          <w:rFonts w:asciiTheme="majorBidi" w:hAnsiTheme="majorBidi" w:cstheme="majorBidi"/>
        </w:rPr>
        <w:t xml:space="preserve"> in order to induce colorectal cancer, according to </w:t>
      </w:r>
      <w:r w:rsidRPr="00621D55">
        <w:rPr>
          <w:rFonts w:asciiTheme="majorBidi" w:hAnsiTheme="majorBidi" w:cstheme="majorBidi"/>
          <w:color w:val="00B0F0"/>
        </w:rPr>
        <w:t>[16,17].</w:t>
      </w:r>
    </w:p>
    <w:p w14:paraId="74EE5848" w14:textId="77777777" w:rsidR="00890AAE" w:rsidRDefault="00E21443" w:rsidP="00890AAE">
      <w:pPr>
        <w:jc w:val="both"/>
        <w:rPr>
          <w:rFonts w:asciiTheme="majorBidi" w:eastAsia="Calibri" w:hAnsiTheme="majorBidi" w:cstheme="majorBidi"/>
          <w:b/>
          <w:bCs/>
        </w:rPr>
      </w:pPr>
      <w:r w:rsidRPr="009E19DD">
        <w:rPr>
          <w:rFonts w:asciiTheme="majorBidi" w:eastAsia="Calibri" w:hAnsiTheme="majorBidi" w:cstheme="majorBidi"/>
          <w:b/>
          <w:bCs/>
        </w:rPr>
        <w:t>Preparation of 5-FU</w:t>
      </w:r>
    </w:p>
    <w:p w14:paraId="7A78EB54" w14:textId="6CF10233" w:rsidR="00E21443" w:rsidRPr="00890AAE" w:rsidRDefault="00C94680" w:rsidP="00890AAE">
      <w:pPr>
        <w:ind w:firstLine="720"/>
        <w:jc w:val="both"/>
        <w:rPr>
          <w:rFonts w:asciiTheme="majorBidi" w:eastAsia="Calibri" w:hAnsiTheme="majorBidi" w:cstheme="majorBidi"/>
          <w:b/>
          <w:bCs/>
        </w:rPr>
      </w:pPr>
      <w:r>
        <w:rPr>
          <w:rFonts w:asciiTheme="majorBidi" w:eastAsia="Calibri" w:hAnsiTheme="majorBidi" w:cstheme="majorBidi"/>
        </w:rPr>
        <w:t xml:space="preserve"> </w:t>
      </w:r>
      <w:r w:rsidR="00E21443" w:rsidRPr="009E19DD">
        <w:rPr>
          <w:rFonts w:asciiTheme="majorBidi" w:eastAsia="Calibri" w:hAnsiTheme="majorBidi" w:cstheme="majorBidi"/>
        </w:rPr>
        <w:t xml:space="preserve">A dose of 5-FU (50 mg/kg, once a week) has been used according to </w:t>
      </w:r>
      <w:r w:rsidR="00E21443" w:rsidRPr="009E19DD">
        <w:rPr>
          <w:rFonts w:asciiTheme="majorBidi" w:eastAsia="Calibri" w:hAnsiTheme="majorBidi" w:cstheme="majorBidi"/>
          <w:color w:val="00B0F0"/>
        </w:rPr>
        <w:fldChar w:fldCharType="begin"/>
      </w:r>
      <w:r w:rsidR="00586342">
        <w:rPr>
          <w:rFonts w:asciiTheme="majorBidi" w:eastAsia="Calibri" w:hAnsiTheme="majorBidi" w:cstheme="majorBidi"/>
          <w:color w:val="00B0F0"/>
        </w:rPr>
        <w:instrText xml:space="preserve"> ADDIN EN.CITE &lt;EndNote&gt;&lt;Cite&gt;&lt;Author&gt;Kim&lt;/Author&gt;&lt;Year&gt;2023&lt;/Year&gt;&lt;RecNum&gt;17&lt;/RecNum&gt;&lt;DisplayText&gt;[18]&lt;/DisplayText&gt;&lt;record&gt;&lt;rec-number&gt;17&lt;/rec-number&gt;&lt;foreign-keys&gt;&lt;key app="EN" db-id="p50etfvw0vx2rxeas51ppx2udswf5rra0x99" timestamp="0"&gt;17&lt;/key&gt;&lt;/foreign-keys&gt;&lt;ref-type name="Journal Article"&gt;17&lt;/ref-type&gt;&lt;contributors&gt;&lt;authors&gt;&lt;author&gt;Kim, Min Jeong&lt;/author&gt;&lt;author&gt;Han, Qinghong&lt;/author&gt;&lt;author&gt;Bouvet, Michael&lt;/author&gt;&lt;author&gt;Hoffman, Robert M&lt;/author&gt;&lt;author&gt;Park, Jun Ho&lt;/author&gt;&lt;/authors&gt;&lt;/contributors&gt;&lt;titles&gt;&lt;title&gt;Recombinant oral methioninase (o-rMETase) combined with oxaliplatinum plus 5-fluorouracil improves survival of mice with massive colon-cancer peritoneal carcinomatosis&lt;/title&gt;&lt;secondary-title&gt;Anticancer Research&lt;/secondary-title&gt;&lt;/titles&gt;&lt;pages&gt;19-24&lt;/pages&gt;&lt;volume&gt;43&lt;/volume&gt;&lt;number&gt;1&lt;/number&gt;&lt;dates&gt;&lt;year&gt;2023&lt;/year&gt;&lt;/dates&gt;&lt;isbn&gt;0250-7005&lt;/isbn&gt;&lt;urls&gt;&lt;/urls&gt;&lt;/record&gt;&lt;/Cite&gt;&lt;/EndNote&gt;</w:instrText>
      </w:r>
      <w:r w:rsidR="00E21443" w:rsidRPr="009E19DD">
        <w:rPr>
          <w:rFonts w:asciiTheme="majorBidi" w:eastAsia="Calibri" w:hAnsiTheme="majorBidi" w:cstheme="majorBidi"/>
          <w:color w:val="00B0F0"/>
        </w:rPr>
        <w:fldChar w:fldCharType="separate"/>
      </w:r>
      <w:r w:rsidR="00586342">
        <w:rPr>
          <w:rFonts w:asciiTheme="majorBidi" w:eastAsia="Calibri" w:hAnsiTheme="majorBidi" w:cstheme="majorBidi"/>
          <w:noProof/>
          <w:color w:val="00B0F0"/>
        </w:rPr>
        <w:t>[18]</w:t>
      </w:r>
      <w:r w:rsidR="00E21443" w:rsidRPr="009E19DD">
        <w:rPr>
          <w:rFonts w:asciiTheme="majorBidi" w:eastAsia="Calibri" w:hAnsiTheme="majorBidi" w:cstheme="majorBidi"/>
          <w:color w:val="00B0F0"/>
        </w:rPr>
        <w:fldChar w:fldCharType="end"/>
      </w:r>
      <w:r w:rsidR="00E21443" w:rsidRPr="009E19DD">
        <w:rPr>
          <w:rFonts w:asciiTheme="majorBidi" w:eastAsia="Calibri" w:hAnsiTheme="majorBidi" w:cstheme="majorBidi"/>
          <w:color w:val="00B0F0"/>
        </w:rPr>
        <w:t xml:space="preserve">. </w:t>
      </w:r>
      <w:r w:rsidR="00E21443" w:rsidRPr="009E19DD">
        <w:rPr>
          <w:rFonts w:asciiTheme="majorBidi" w:eastAsia="Calibri" w:hAnsiTheme="majorBidi" w:cstheme="majorBidi"/>
        </w:rPr>
        <w:t>A rat weighing 200 g was given a solution of 10 mg/ml concentration in sterile water (1 ml ip once weekly for 6 weeks).</w:t>
      </w:r>
    </w:p>
    <w:p w14:paraId="0BE8E995" w14:textId="77777777" w:rsidR="00E21443" w:rsidRPr="00297A34" w:rsidRDefault="00E21443" w:rsidP="003B735A">
      <w:pPr>
        <w:jc w:val="both"/>
        <w:rPr>
          <w:rFonts w:asciiTheme="majorBidi" w:eastAsia="Calibri" w:hAnsiTheme="majorBidi" w:cstheme="majorBidi"/>
          <w:b/>
          <w:bCs/>
          <w:color w:val="000000" w:themeColor="text1"/>
        </w:rPr>
      </w:pPr>
      <w:r w:rsidRPr="00297A34">
        <w:rPr>
          <w:rFonts w:asciiTheme="majorBidi" w:eastAsia="Calibri" w:hAnsiTheme="majorBidi" w:cstheme="majorBidi"/>
          <w:b/>
          <w:bCs/>
          <w:color w:val="000000" w:themeColor="text1"/>
        </w:rPr>
        <w:t>Experimental Animals</w:t>
      </w:r>
    </w:p>
    <w:p w14:paraId="0CE4C6F9" w14:textId="039E85A8" w:rsidR="00E325A1" w:rsidRPr="00E325A1" w:rsidRDefault="00C94680" w:rsidP="00890AAE">
      <w:pPr>
        <w:ind w:firstLine="720"/>
        <w:jc w:val="both"/>
        <w:rPr>
          <w:rFonts w:asciiTheme="majorBidi" w:eastAsia="Calibri" w:hAnsiTheme="majorBidi" w:cstheme="majorBidi"/>
        </w:rPr>
      </w:pPr>
      <w:r>
        <w:rPr>
          <w:rFonts w:asciiTheme="majorBidi" w:eastAsia="Calibri" w:hAnsiTheme="majorBidi" w:cstheme="majorBidi"/>
        </w:rPr>
        <w:t xml:space="preserve"> </w:t>
      </w:r>
      <w:r w:rsidR="00E325A1" w:rsidRPr="00E325A1">
        <w:rPr>
          <w:rFonts w:asciiTheme="majorBidi" w:eastAsia="Calibri" w:hAnsiTheme="majorBidi" w:cstheme="majorBidi"/>
        </w:rPr>
        <w:t>In this experiment, male Albino Wistar rats, a widely used strain in cancer research due to their well-characterized physiology and susceptibility to DMH-induced colorectal cancer, were employed. The rats weighed 170 ± 20 g and were aged between 5 and 8 weeks. They were housed under standard experimental conditions, with a 12-hour light/dark cycle, a temperature of 22 ± 5°C, and a relative humidity of 65%.</w:t>
      </w:r>
    </w:p>
    <w:p w14:paraId="693C03DB" w14:textId="14794F52" w:rsidR="00E325A1" w:rsidRPr="009E19DD" w:rsidRDefault="00E21443" w:rsidP="00E325A1">
      <w:pPr>
        <w:jc w:val="both"/>
        <w:rPr>
          <w:rFonts w:asciiTheme="majorBidi" w:eastAsia="Calibri" w:hAnsiTheme="majorBidi" w:cstheme="majorBidi"/>
          <w:b/>
          <w:bCs/>
        </w:rPr>
      </w:pPr>
      <w:r w:rsidRPr="009E19DD">
        <w:rPr>
          <w:rFonts w:asciiTheme="majorBidi" w:eastAsia="Calibri" w:hAnsiTheme="majorBidi" w:cstheme="majorBidi"/>
          <w:b/>
          <w:bCs/>
        </w:rPr>
        <w:t>Experimental protocol</w:t>
      </w:r>
    </w:p>
    <w:p w14:paraId="38E603CF" w14:textId="59F89BA1" w:rsidR="00E21443" w:rsidRPr="009E19DD" w:rsidRDefault="00E21443" w:rsidP="00890AAE">
      <w:pPr>
        <w:ind w:right="42" w:firstLine="720"/>
        <w:jc w:val="both"/>
        <w:rPr>
          <w:rFonts w:asciiTheme="majorBidi" w:eastAsia="Calibri" w:hAnsiTheme="majorBidi" w:cstheme="majorBidi"/>
        </w:rPr>
      </w:pPr>
      <w:r w:rsidRPr="009E19DD">
        <w:rPr>
          <w:rFonts w:asciiTheme="majorBidi" w:eastAsia="Calibri" w:hAnsiTheme="majorBidi" w:cstheme="majorBidi"/>
        </w:rPr>
        <w:t xml:space="preserve">The animals </w:t>
      </w:r>
      <w:r w:rsidR="00E325A1">
        <w:rPr>
          <w:rFonts w:asciiTheme="majorBidi" w:eastAsia="Calibri" w:hAnsiTheme="majorBidi" w:cstheme="majorBidi"/>
        </w:rPr>
        <w:t>were randomly</w:t>
      </w:r>
      <w:r w:rsidRPr="009E19DD">
        <w:rPr>
          <w:rFonts w:asciiTheme="majorBidi" w:eastAsia="Calibri" w:hAnsiTheme="majorBidi" w:cstheme="majorBidi"/>
        </w:rPr>
        <w:t xml:space="preserve"> divided into 5 groups (6 rats </w:t>
      </w:r>
      <w:r w:rsidR="00E325A1">
        <w:rPr>
          <w:rFonts w:asciiTheme="majorBidi" w:eastAsia="Calibri" w:hAnsiTheme="majorBidi" w:cstheme="majorBidi"/>
        </w:rPr>
        <w:t>per</w:t>
      </w:r>
      <w:r w:rsidRPr="009E19DD">
        <w:rPr>
          <w:rFonts w:asciiTheme="majorBidi" w:eastAsia="Calibri" w:hAnsiTheme="majorBidi" w:cstheme="majorBidi"/>
        </w:rPr>
        <w:t xml:space="preserve"> group) </w:t>
      </w:r>
      <w:r w:rsidR="00E325A1">
        <w:rPr>
          <w:rFonts w:asciiTheme="majorBidi" w:eastAsia="Calibri" w:hAnsiTheme="majorBidi" w:cstheme="majorBidi"/>
        </w:rPr>
        <w:t>receiving</w:t>
      </w:r>
      <w:r w:rsidRPr="009E19DD">
        <w:rPr>
          <w:rFonts w:asciiTheme="majorBidi" w:eastAsia="Calibri" w:hAnsiTheme="majorBidi" w:cstheme="majorBidi"/>
        </w:rPr>
        <w:t xml:space="preserve"> different treatments as follow</w:t>
      </w:r>
      <w:r w:rsidR="00E325A1">
        <w:rPr>
          <w:rFonts w:asciiTheme="majorBidi" w:eastAsia="Calibri" w:hAnsiTheme="majorBidi" w:cstheme="majorBidi"/>
        </w:rPr>
        <w:t>s</w:t>
      </w:r>
      <w:r w:rsidRPr="009E19DD">
        <w:rPr>
          <w:rFonts w:asciiTheme="majorBidi" w:eastAsia="Calibri" w:hAnsiTheme="majorBidi" w:cstheme="majorBidi"/>
        </w:rPr>
        <w:t>:</w:t>
      </w:r>
    </w:p>
    <w:p w14:paraId="6B2CDD16" w14:textId="77777777" w:rsidR="00E21443" w:rsidRPr="009E19DD" w:rsidRDefault="00E21443" w:rsidP="00DB3AE4">
      <w:pPr>
        <w:ind w:right="-100"/>
        <w:jc w:val="both"/>
        <w:rPr>
          <w:rFonts w:asciiTheme="majorBidi" w:eastAsia="Calibri" w:hAnsiTheme="majorBidi" w:cstheme="majorBidi"/>
        </w:rPr>
      </w:pPr>
      <w:r w:rsidRPr="009E19DD">
        <w:rPr>
          <w:rFonts w:asciiTheme="majorBidi" w:eastAsia="Calibri" w:hAnsiTheme="majorBidi" w:cstheme="majorBidi"/>
          <w:b/>
          <w:bCs/>
        </w:rPr>
        <w:t>Group I:</w:t>
      </w:r>
      <w:r w:rsidRPr="009E19DD">
        <w:rPr>
          <w:rFonts w:asciiTheme="majorBidi" w:eastAsia="Calibri" w:hAnsiTheme="majorBidi" w:cstheme="majorBidi"/>
        </w:rPr>
        <w:t xml:space="preserve"> As a negative control, rats were given isosaline orally once a day for six weeks.</w:t>
      </w:r>
    </w:p>
    <w:p w14:paraId="332A7A5F" w14:textId="3EC72296" w:rsidR="00E21443" w:rsidRPr="009E19DD" w:rsidRDefault="00E21443" w:rsidP="00DB3AE4">
      <w:pPr>
        <w:ind w:right="42"/>
        <w:jc w:val="both"/>
        <w:rPr>
          <w:rFonts w:asciiTheme="majorBidi" w:eastAsia="Calibri" w:hAnsiTheme="majorBidi" w:cstheme="majorBidi"/>
        </w:rPr>
      </w:pPr>
      <w:r w:rsidRPr="009E19DD">
        <w:rPr>
          <w:rFonts w:asciiTheme="majorBidi" w:eastAsia="Calibri" w:hAnsiTheme="majorBidi" w:cstheme="majorBidi"/>
          <w:b/>
          <w:bCs/>
        </w:rPr>
        <w:t>Group II:</w:t>
      </w:r>
      <w:r w:rsidRPr="009E19DD">
        <w:rPr>
          <w:rFonts w:asciiTheme="majorBidi" w:eastAsia="Calibri" w:hAnsiTheme="majorBidi" w:cstheme="majorBidi"/>
        </w:rPr>
        <w:t xml:space="preserve"> Rats were given DMH 40 mg/kg in 1 mM EDTA, S.C., twice a week for six weeks; they were maintained as positive controls </w:t>
      </w:r>
      <w:r w:rsidRPr="009E19DD">
        <w:rPr>
          <w:rFonts w:asciiTheme="majorBidi" w:eastAsia="Calibri" w:hAnsiTheme="majorBidi" w:cstheme="majorBidi"/>
          <w:color w:val="00B0F0"/>
        </w:rPr>
        <w:fldChar w:fldCharType="begin"/>
      </w:r>
      <w:r w:rsidR="00586342">
        <w:rPr>
          <w:rFonts w:asciiTheme="majorBidi" w:eastAsia="Calibri" w:hAnsiTheme="majorBidi" w:cstheme="majorBidi"/>
          <w:color w:val="00B0F0"/>
        </w:rPr>
        <w:instrText xml:space="preserve"> ADDIN EN.CITE &lt;EndNote&gt;&lt;Cite ExcludeAuth="1"&gt;&lt;Author&gt;Mahmoud&lt;/Author&gt;&lt;Year&gt;2025&lt;/Year&gt;&lt;RecNum&gt;18&lt;/RecNum&gt;&lt;DisplayText&gt;[19]&lt;/DisplayText&gt;&lt;record&gt;&lt;rec-number&gt;18&lt;/rec-number&gt;&lt;foreign-keys&gt;&lt;key app="EN" db-id="p50etfvw0vx2rxeas51ppx2udswf5rra0x99" timestamp="0"&gt;18&lt;/key&gt;&lt;/foreign-keys&gt;&lt;ref-type name="Journal Article"&gt;17&lt;/ref-type&gt;&lt;contributors&gt;&lt;authors&gt;&lt;author&gt;Mahmoud, Mohamed O&lt;/author&gt;&lt;author&gt;Al‐Hamid, Hager Abd&lt;/author&gt;&lt;author&gt;Hassan, Noha F&lt;/author&gt;&lt;author&gt;El‐Ansary, Mona R&lt;/author&gt;&lt;author&gt;Gomaa, Safaa B&lt;/author&gt;&lt;/authors&gt;&lt;/contributors&gt;&lt;titles&gt;&lt;title&gt;Linagliptin Mitigates DMH‐Induced Colorectal Cancer in Rats: Crosstalk Between NFAT and IL‐6/JAK2/STAT3/NF‐κB Signaling Hubs&lt;/title&gt;&lt;secondary-title&gt;Journal of Biochemical and Molecular Toxicology&lt;/secondary-title&gt;&lt;/titles&gt;&lt;pages&gt;e70206&lt;/pages&gt;&lt;volume&gt;39&lt;/volume&gt;&lt;number&gt;3&lt;/number&gt;&lt;dates&gt;&lt;year&gt;2025&lt;/year&gt;&lt;/dates&gt;&lt;isbn&gt;1095-6670&lt;/isbn&gt;&lt;urls&gt;&lt;/urls&gt;&lt;/record&gt;&lt;/Cite&gt;&lt;/EndNote&gt;</w:instrText>
      </w:r>
      <w:r w:rsidRPr="009E19DD">
        <w:rPr>
          <w:rFonts w:asciiTheme="majorBidi" w:eastAsia="Calibri" w:hAnsiTheme="majorBidi" w:cstheme="majorBidi"/>
          <w:color w:val="00B0F0"/>
        </w:rPr>
        <w:fldChar w:fldCharType="separate"/>
      </w:r>
      <w:r w:rsidR="00586342">
        <w:rPr>
          <w:rFonts w:asciiTheme="majorBidi" w:eastAsia="Calibri" w:hAnsiTheme="majorBidi" w:cstheme="majorBidi"/>
          <w:noProof/>
          <w:color w:val="00B0F0"/>
        </w:rPr>
        <w:t>[19]</w:t>
      </w:r>
      <w:r w:rsidRPr="009E19DD">
        <w:rPr>
          <w:rFonts w:asciiTheme="majorBidi" w:eastAsia="Calibri" w:hAnsiTheme="majorBidi" w:cstheme="majorBidi"/>
          <w:color w:val="00B0F0"/>
        </w:rPr>
        <w:fldChar w:fldCharType="end"/>
      </w:r>
    </w:p>
    <w:p w14:paraId="7FA55F35" w14:textId="7886A7A9" w:rsidR="00E21443" w:rsidRPr="009E19DD" w:rsidRDefault="00E21443" w:rsidP="00DB3AE4">
      <w:pPr>
        <w:ind w:right="-100"/>
        <w:jc w:val="both"/>
        <w:rPr>
          <w:rFonts w:asciiTheme="majorBidi" w:eastAsia="Calibri" w:hAnsiTheme="majorBidi" w:cstheme="majorBidi"/>
          <w:b/>
          <w:bCs/>
          <w:color w:val="00B0F0"/>
        </w:rPr>
      </w:pPr>
      <w:r w:rsidRPr="009E19DD">
        <w:rPr>
          <w:rFonts w:asciiTheme="majorBidi" w:eastAsia="Calibri" w:hAnsiTheme="majorBidi" w:cstheme="majorBidi"/>
          <w:b/>
          <w:bCs/>
        </w:rPr>
        <w:t>Group III:</w:t>
      </w:r>
      <w:r w:rsidRPr="009E19DD">
        <w:rPr>
          <w:rFonts w:asciiTheme="majorBidi" w:eastAsia="Calibri" w:hAnsiTheme="majorBidi" w:cstheme="majorBidi"/>
        </w:rPr>
        <w:t xml:space="preserve"> Rats received DMH as group II, plus 5-flurouracil (5- FU, 50 mg/kg, ip once weekly for 6 weeks; kept as a standard group </w:t>
      </w:r>
      <w:r w:rsidRPr="009E19DD">
        <w:rPr>
          <w:rFonts w:asciiTheme="majorBidi" w:eastAsia="Calibri" w:hAnsiTheme="majorBidi" w:cstheme="majorBidi"/>
          <w:color w:val="00B0F0"/>
        </w:rPr>
        <w:fldChar w:fldCharType="begin"/>
      </w:r>
      <w:r w:rsidR="00586342">
        <w:rPr>
          <w:rFonts w:asciiTheme="majorBidi" w:eastAsia="Calibri" w:hAnsiTheme="majorBidi" w:cstheme="majorBidi"/>
          <w:color w:val="00B0F0"/>
        </w:rPr>
        <w:instrText xml:space="preserve"> ADDIN EN.CITE &lt;EndNote&gt;&lt;Cite ExcludeAuth="1"&gt;&lt;Author&gt;Nobari&lt;/Author&gt;&lt;Year&gt;2025&lt;/Year&gt;&lt;RecNum&gt;19&lt;/RecNum&gt;&lt;DisplayText&gt;[20]&lt;/DisplayText&gt;&lt;record&gt;&lt;rec-number&gt;19&lt;/rec-number&gt;&lt;foreign-keys&gt;&lt;key app="EN" db-id="p50etfvw0vx2rxeas51ppx2udswf5rra0x99" timestamp="0"&gt;19&lt;/key&gt;&lt;/foreign-keys&gt;&lt;ref-type name="Journal Article"&gt;17&lt;/ref-type&gt;&lt;contributors&gt;&lt;authors&gt;&lt;author&gt;Nobari, Sima&lt;/author&gt;&lt;author&gt;Shojaeian, Ali&lt;/author&gt;&lt;author&gt;Jalilian, Farid Azizi&lt;/author&gt;&lt;author&gt;Kalvandi, Gholamreza&lt;/author&gt;&lt;author&gt;Amini, Razieh&lt;/author&gt;&lt;/authors&gt;&lt;/contributors&gt;&lt;titles&gt;&lt;title&gt;Modulation of the tumor microenvironment by zerumbone and 5-fluorouracil in colorectal cancer by target in cancer-associated fibroblasts&lt;/title&gt;&lt;secondary-title&gt;Discover Oncology&lt;/secondary-title&gt;&lt;/titles&gt;&lt;pages&gt;1-12&lt;/pages&gt;&lt;volume&gt;16&lt;/volume&gt;&lt;number&gt;1&lt;/number&gt;&lt;dates&gt;&lt;year&gt;2025&lt;/year&gt;&lt;/dates&gt;&lt;isbn&gt;2730-6011&lt;/isbn&gt;&lt;urls&gt;&lt;/urls&gt;&lt;/record&gt;&lt;/Cite&gt;&lt;/EndNote&gt;</w:instrText>
      </w:r>
      <w:r w:rsidRPr="009E19DD">
        <w:rPr>
          <w:rFonts w:asciiTheme="majorBidi" w:eastAsia="Calibri" w:hAnsiTheme="majorBidi" w:cstheme="majorBidi"/>
          <w:color w:val="00B0F0"/>
        </w:rPr>
        <w:fldChar w:fldCharType="separate"/>
      </w:r>
      <w:r w:rsidR="00586342">
        <w:rPr>
          <w:rFonts w:asciiTheme="majorBidi" w:eastAsia="Calibri" w:hAnsiTheme="majorBidi" w:cstheme="majorBidi"/>
          <w:noProof/>
          <w:color w:val="00B0F0"/>
        </w:rPr>
        <w:t>[20]</w:t>
      </w:r>
      <w:r w:rsidRPr="009E19DD">
        <w:rPr>
          <w:rFonts w:asciiTheme="majorBidi" w:eastAsia="Calibri" w:hAnsiTheme="majorBidi" w:cstheme="majorBidi"/>
          <w:color w:val="00B0F0"/>
        </w:rPr>
        <w:fldChar w:fldCharType="end"/>
      </w:r>
    </w:p>
    <w:p w14:paraId="06426626" w14:textId="77777777" w:rsidR="00E21443" w:rsidRPr="009E19DD" w:rsidRDefault="00E21443" w:rsidP="00DB3AE4">
      <w:pPr>
        <w:ind w:right="-100"/>
        <w:jc w:val="both"/>
        <w:rPr>
          <w:rFonts w:asciiTheme="majorBidi" w:hAnsiTheme="majorBidi" w:cstheme="majorBidi"/>
        </w:rPr>
      </w:pPr>
      <w:r w:rsidRPr="009E19DD">
        <w:rPr>
          <w:rFonts w:asciiTheme="majorBidi" w:hAnsiTheme="majorBidi" w:cstheme="majorBidi"/>
          <w:b/>
          <w:bCs/>
        </w:rPr>
        <w:t>Group IV:</w:t>
      </w:r>
      <w:r w:rsidRPr="009E19DD">
        <w:rPr>
          <w:rFonts w:asciiTheme="majorBidi" w:hAnsiTheme="majorBidi" w:cstheme="majorBidi"/>
        </w:rPr>
        <w:t xml:space="preserve"> Rats in the </w:t>
      </w:r>
      <w:r w:rsidRPr="009E19DD">
        <w:rPr>
          <w:rFonts w:asciiTheme="majorBidi" w:hAnsiTheme="majorBidi" w:cstheme="majorBidi"/>
          <w:i/>
          <w:iCs/>
        </w:rPr>
        <w:t>VRE</w:t>
      </w:r>
      <w:r w:rsidRPr="009E19DD">
        <w:rPr>
          <w:rFonts w:asciiTheme="majorBidi" w:hAnsiTheme="majorBidi" w:cstheme="majorBidi"/>
        </w:rPr>
        <w:t xml:space="preserve">-SD treatment group were given DMH along with a tiny oral dose of </w:t>
      </w:r>
      <w:r w:rsidRPr="009E19DD">
        <w:rPr>
          <w:rFonts w:asciiTheme="majorBidi" w:hAnsiTheme="majorBidi" w:cstheme="majorBidi"/>
          <w:i/>
          <w:iCs/>
        </w:rPr>
        <w:t>Vinca roseus</w:t>
      </w:r>
      <w:r w:rsidRPr="009E19DD">
        <w:rPr>
          <w:rFonts w:asciiTheme="majorBidi" w:hAnsiTheme="majorBidi" w:cstheme="majorBidi"/>
        </w:rPr>
        <w:t xml:space="preserve"> extract (</w:t>
      </w:r>
      <w:r w:rsidRPr="009E19DD">
        <w:rPr>
          <w:rFonts w:asciiTheme="majorBidi" w:hAnsiTheme="majorBidi" w:cstheme="majorBidi"/>
          <w:i/>
          <w:iCs/>
        </w:rPr>
        <w:t>VRE</w:t>
      </w:r>
      <w:r w:rsidRPr="009E19DD">
        <w:rPr>
          <w:rFonts w:asciiTheme="majorBidi" w:hAnsiTheme="majorBidi" w:cstheme="majorBidi"/>
        </w:rPr>
        <w:t>, 150 mg/kg, once daily for six weeks).</w:t>
      </w:r>
    </w:p>
    <w:p w14:paraId="3C5576E1" w14:textId="77777777" w:rsidR="00E21443" w:rsidRPr="009E19DD" w:rsidRDefault="00E21443" w:rsidP="00DB3AE4">
      <w:pPr>
        <w:ind w:right="-100"/>
        <w:jc w:val="both"/>
        <w:rPr>
          <w:rFonts w:asciiTheme="majorBidi" w:hAnsiTheme="majorBidi" w:cstheme="majorBidi"/>
        </w:rPr>
      </w:pPr>
      <w:r w:rsidRPr="009E19DD">
        <w:rPr>
          <w:rFonts w:asciiTheme="majorBidi" w:hAnsiTheme="majorBidi" w:cstheme="majorBidi"/>
          <w:b/>
          <w:bCs/>
        </w:rPr>
        <w:t xml:space="preserve">Group V: </w:t>
      </w:r>
      <w:r w:rsidRPr="009E19DD">
        <w:rPr>
          <w:rFonts w:asciiTheme="majorBidi" w:hAnsiTheme="majorBidi" w:cstheme="majorBidi"/>
        </w:rPr>
        <w:t xml:space="preserve">Rats in the </w:t>
      </w:r>
      <w:r w:rsidRPr="009E19DD">
        <w:rPr>
          <w:rFonts w:asciiTheme="majorBidi" w:hAnsiTheme="majorBidi" w:cstheme="majorBidi"/>
          <w:i/>
          <w:iCs/>
        </w:rPr>
        <w:t>VRE</w:t>
      </w:r>
      <w:r w:rsidRPr="009E19DD">
        <w:rPr>
          <w:rFonts w:asciiTheme="majorBidi" w:hAnsiTheme="majorBidi" w:cstheme="majorBidi"/>
        </w:rPr>
        <w:t xml:space="preserve">-HD treatment group were given DMH in addition to a high dose of </w:t>
      </w:r>
      <w:r w:rsidRPr="009E19DD">
        <w:rPr>
          <w:rFonts w:asciiTheme="majorBidi" w:hAnsiTheme="majorBidi" w:cstheme="majorBidi"/>
          <w:i/>
          <w:iCs/>
        </w:rPr>
        <w:t>Vinca roseus</w:t>
      </w:r>
      <w:r w:rsidRPr="009E19DD">
        <w:rPr>
          <w:rFonts w:asciiTheme="majorBidi" w:hAnsiTheme="majorBidi" w:cstheme="majorBidi"/>
        </w:rPr>
        <w:t xml:space="preserve"> extract (</w:t>
      </w:r>
      <w:r w:rsidRPr="009E19DD">
        <w:rPr>
          <w:rFonts w:asciiTheme="majorBidi" w:hAnsiTheme="majorBidi" w:cstheme="majorBidi"/>
          <w:i/>
          <w:iCs/>
        </w:rPr>
        <w:t>VRE</w:t>
      </w:r>
      <w:r w:rsidRPr="009E19DD">
        <w:rPr>
          <w:rFonts w:asciiTheme="majorBidi" w:hAnsiTheme="majorBidi" w:cstheme="majorBidi"/>
        </w:rPr>
        <w:t>, 300 mg/kg, orally, once daily, for six weeks).</w:t>
      </w:r>
    </w:p>
    <w:p w14:paraId="35BE5C9F" w14:textId="77777777" w:rsidR="00E21443" w:rsidRPr="009E19DD" w:rsidRDefault="00E21443" w:rsidP="009536D7">
      <w:pPr>
        <w:ind w:right="-525"/>
        <w:jc w:val="both"/>
        <w:rPr>
          <w:rFonts w:asciiTheme="majorBidi" w:hAnsiTheme="majorBidi" w:cstheme="majorBidi"/>
        </w:rPr>
      </w:pPr>
      <w:r w:rsidRPr="009E19DD">
        <w:rPr>
          <w:rFonts w:asciiTheme="majorBidi" w:hAnsiTheme="majorBidi" w:cstheme="majorBidi"/>
          <w:b/>
          <w:bCs/>
        </w:rPr>
        <w:t>Sampling</w:t>
      </w:r>
    </w:p>
    <w:p w14:paraId="62F41328" w14:textId="2D5714B7" w:rsidR="00E21443" w:rsidRPr="009E19DD" w:rsidRDefault="005E5656" w:rsidP="005E5656">
      <w:pPr>
        <w:ind w:right="-100"/>
        <w:jc w:val="both"/>
        <w:rPr>
          <w:rFonts w:asciiTheme="majorBidi" w:hAnsiTheme="majorBidi" w:cstheme="majorBidi"/>
        </w:rPr>
      </w:pPr>
      <w:r>
        <w:rPr>
          <w:rFonts w:asciiTheme="majorBidi" w:hAnsiTheme="majorBidi" w:cstheme="majorBidi"/>
        </w:rPr>
        <w:t xml:space="preserve"> </w:t>
      </w:r>
      <w:r w:rsidR="00890AAE">
        <w:rPr>
          <w:rFonts w:asciiTheme="majorBidi" w:hAnsiTheme="majorBidi" w:cstheme="majorBidi"/>
        </w:rPr>
        <w:tab/>
      </w:r>
      <w:r w:rsidR="00E21443" w:rsidRPr="009E19DD">
        <w:rPr>
          <w:rFonts w:asciiTheme="majorBidi" w:hAnsiTheme="majorBidi" w:cstheme="majorBidi"/>
        </w:rPr>
        <w:t xml:space="preserve">The animals were fasted overnight and given unlimited access to drinking water at the conclusion of the six-week treatment period. Blood was drawn </w:t>
      </w:r>
      <w:r w:rsidR="00E21443" w:rsidRPr="00297A34">
        <w:rPr>
          <w:rFonts w:asciiTheme="majorBidi" w:hAnsiTheme="majorBidi" w:cstheme="majorBidi"/>
        </w:rPr>
        <w:t>from retro pulper Venous plexus,</w:t>
      </w:r>
      <w:r w:rsidR="00E21443" w:rsidRPr="009E19DD">
        <w:rPr>
          <w:rFonts w:asciiTheme="majorBidi" w:hAnsiTheme="majorBidi" w:cstheme="majorBidi"/>
        </w:rPr>
        <w:t xml:space="preserve"> </w:t>
      </w:r>
      <w:r w:rsidR="00E21443">
        <w:rPr>
          <w:rFonts w:asciiTheme="majorBidi" w:hAnsiTheme="majorBidi" w:cstheme="majorBidi"/>
        </w:rPr>
        <w:t>at</w:t>
      </w:r>
      <w:r w:rsidR="00E21443" w:rsidRPr="009E19DD">
        <w:rPr>
          <w:rFonts w:asciiTheme="majorBidi" w:hAnsiTheme="majorBidi" w:cstheme="majorBidi"/>
        </w:rPr>
        <w:t xml:space="preserve"> the medial canthus of the eye. The blood was then placed in sampling tubes containing EDTA and utilized for a hemogram.</w:t>
      </w:r>
    </w:p>
    <w:p w14:paraId="488FC5BD" w14:textId="77777777" w:rsidR="00E21443" w:rsidRPr="009E19DD" w:rsidRDefault="00E21443" w:rsidP="009536D7">
      <w:pPr>
        <w:ind w:right="-525"/>
        <w:jc w:val="both"/>
        <w:rPr>
          <w:rFonts w:asciiTheme="majorBidi" w:hAnsiTheme="majorBidi" w:cstheme="majorBidi"/>
          <w:b/>
          <w:bCs/>
        </w:rPr>
      </w:pPr>
      <w:r w:rsidRPr="009E19DD">
        <w:rPr>
          <w:rFonts w:asciiTheme="majorBidi" w:hAnsiTheme="majorBidi" w:cstheme="majorBidi"/>
          <w:b/>
          <w:bCs/>
        </w:rPr>
        <w:t>Assessments:</w:t>
      </w:r>
    </w:p>
    <w:p w14:paraId="4EA1C631" w14:textId="77777777" w:rsidR="00E21443" w:rsidRPr="009E19DD" w:rsidRDefault="00E21443" w:rsidP="009536D7">
      <w:pPr>
        <w:ind w:right="-525"/>
        <w:jc w:val="both"/>
        <w:rPr>
          <w:rFonts w:asciiTheme="majorBidi" w:hAnsiTheme="majorBidi" w:cstheme="majorBidi"/>
          <w:b/>
          <w:bCs/>
        </w:rPr>
      </w:pPr>
      <w:r w:rsidRPr="009E19DD">
        <w:rPr>
          <w:rFonts w:asciiTheme="majorBidi" w:hAnsiTheme="majorBidi" w:cstheme="majorBidi"/>
          <w:b/>
          <w:bCs/>
        </w:rPr>
        <w:t>Hemogram</w:t>
      </w:r>
    </w:p>
    <w:p w14:paraId="2F3D1A2C" w14:textId="2D4166DF" w:rsidR="00E21443" w:rsidRPr="009E19DD" w:rsidRDefault="00E21443" w:rsidP="00890AAE">
      <w:pPr>
        <w:ind w:right="42" w:firstLine="720"/>
        <w:jc w:val="both"/>
        <w:rPr>
          <w:rFonts w:asciiTheme="majorBidi" w:hAnsiTheme="majorBidi" w:cstheme="majorBidi"/>
          <w:color w:val="000000" w:themeColor="text1"/>
        </w:rPr>
      </w:pPr>
      <w:r w:rsidRPr="009E19DD">
        <w:rPr>
          <w:rFonts w:asciiTheme="majorBidi" w:hAnsiTheme="majorBidi" w:cstheme="majorBidi"/>
          <w:color w:val="000000" w:themeColor="text1"/>
        </w:rPr>
        <w:t xml:space="preserve">Erythrocytic parameters, red blood cell count (RBCS), haematocrit value (HCT), hemoglobin concentration (HGB), mean corpuscular volume </w:t>
      </w:r>
      <w:r w:rsidRPr="009E19DD">
        <w:rPr>
          <w:rFonts w:asciiTheme="majorBidi" w:hAnsiTheme="majorBidi" w:cstheme="majorBidi"/>
          <w:color w:val="000000" w:themeColor="text1"/>
        </w:rPr>
        <w:t>(MCV), mean corpuscular hemoglobin concentration (MCHC), platelets concentration (PLT), and mean platelet volume (MPV) were measured using an auto-hematology analyzer (Mindray®, Model BC-2800Vet, Shenzhen, China).</w:t>
      </w:r>
    </w:p>
    <w:p w14:paraId="5621D1B1" w14:textId="77777777" w:rsidR="00E21443" w:rsidRPr="009E19DD" w:rsidRDefault="00E21443" w:rsidP="003B735A">
      <w:pPr>
        <w:ind w:right="-525"/>
        <w:jc w:val="both"/>
        <w:rPr>
          <w:rFonts w:asciiTheme="majorBidi" w:hAnsiTheme="majorBidi" w:cstheme="majorBidi"/>
          <w:color w:val="000000" w:themeColor="text1"/>
          <w:lang w:bidi="ar-EG"/>
        </w:rPr>
      </w:pPr>
      <w:r w:rsidRPr="009E19DD">
        <w:rPr>
          <w:rFonts w:asciiTheme="majorBidi" w:hAnsiTheme="majorBidi" w:cstheme="majorBidi"/>
          <w:color w:val="000000" w:themeColor="text1"/>
          <w:lang w:bidi="ar-EG"/>
        </w:rPr>
        <w:t>The analyzer adopts the coulter principle to count RBC</w:t>
      </w:r>
      <w:r w:rsidRPr="009E19DD">
        <w:rPr>
          <w:rFonts w:asciiTheme="majorBidi" w:hAnsiTheme="majorBidi" w:cstheme="majorBidi"/>
          <w:color w:val="000000" w:themeColor="text1"/>
          <w:vertAlign w:val="subscript"/>
          <w:lang w:bidi="ar-EG"/>
        </w:rPr>
        <w:t>S</w:t>
      </w:r>
      <w:r w:rsidRPr="009E19DD">
        <w:rPr>
          <w:rFonts w:asciiTheme="majorBidi" w:hAnsiTheme="majorBidi" w:cstheme="majorBidi"/>
          <w:color w:val="000000" w:themeColor="text1"/>
          <w:lang w:bidi="ar-EG"/>
        </w:rPr>
        <w:t>, WBC</w:t>
      </w:r>
      <w:r w:rsidRPr="009E19DD">
        <w:rPr>
          <w:rFonts w:asciiTheme="majorBidi" w:hAnsiTheme="majorBidi" w:cstheme="majorBidi"/>
          <w:color w:val="000000" w:themeColor="text1"/>
          <w:vertAlign w:val="subscript"/>
          <w:lang w:bidi="ar-EG"/>
        </w:rPr>
        <w:t xml:space="preserve">S </w:t>
      </w:r>
      <w:r w:rsidRPr="009E19DD">
        <w:rPr>
          <w:rFonts w:asciiTheme="majorBidi" w:hAnsiTheme="majorBidi" w:cstheme="majorBidi"/>
          <w:color w:val="000000" w:themeColor="text1"/>
          <w:lang w:bidi="ar-EG"/>
        </w:rPr>
        <w:t>and PLT</w:t>
      </w:r>
      <w:r w:rsidRPr="009E19DD">
        <w:rPr>
          <w:rFonts w:asciiTheme="majorBidi" w:hAnsiTheme="majorBidi" w:cstheme="majorBidi"/>
          <w:color w:val="000000" w:themeColor="text1"/>
          <w:vertAlign w:val="subscript"/>
          <w:lang w:bidi="ar-EG"/>
        </w:rPr>
        <w:t>S</w:t>
      </w:r>
      <w:r w:rsidRPr="009E19DD">
        <w:rPr>
          <w:rFonts w:asciiTheme="majorBidi" w:hAnsiTheme="majorBidi" w:cstheme="majorBidi"/>
          <w:color w:val="000000" w:themeColor="text1"/>
          <w:lang w:bidi="ar-EG"/>
        </w:rPr>
        <w:t xml:space="preserve"> and to draw their corresponding histograms. The HGB concentration is obtained by the colorimetric method and the MCV is calculated electronically. The following formulae are used to mathematically calculate the remaining indices from those: </w:t>
      </w:r>
    </w:p>
    <w:p w14:paraId="6A76469E" w14:textId="77777777" w:rsidR="00E21443" w:rsidRPr="009E19DD" w:rsidRDefault="00E21443" w:rsidP="003B735A">
      <w:pPr>
        <w:ind w:right="-525" w:firstLine="425"/>
        <w:jc w:val="both"/>
        <w:rPr>
          <w:rFonts w:asciiTheme="majorBidi" w:eastAsiaTheme="minorEastAsia" w:hAnsiTheme="majorBidi" w:cstheme="majorBidi"/>
          <w:color w:val="000000" w:themeColor="text1"/>
          <w:lang w:bidi="ar-EG"/>
        </w:rPr>
      </w:pPr>
      <w:r w:rsidRPr="009E19DD">
        <w:rPr>
          <w:rFonts w:asciiTheme="majorBidi" w:hAnsiTheme="majorBidi" w:cstheme="majorBidi"/>
          <w:color w:val="000000" w:themeColor="text1"/>
          <w:lang w:bidi="ar-EG"/>
        </w:rPr>
        <w:t xml:space="preserve">HCT% = </w:t>
      </w:r>
      <w:bookmarkStart w:id="2" w:name="_Hlk218832408"/>
      <m:oMath>
        <m:f>
          <m:fPr>
            <m:ctrlPr>
              <w:rPr>
                <w:rFonts w:ascii="Cambria Math" w:hAnsi="Cambria Math" w:cstheme="majorBidi"/>
                <w:color w:val="000000" w:themeColor="text1"/>
                <w:lang w:bidi="ar-EG"/>
              </w:rPr>
            </m:ctrlPr>
          </m:fPr>
          <m:num>
            <m:r>
              <w:rPr>
                <w:rFonts w:ascii="Cambria Math" w:hAnsi="Cambria Math" w:cstheme="majorBidi"/>
                <w:color w:val="000000" w:themeColor="text1"/>
                <w:lang w:bidi="ar-EG"/>
              </w:rPr>
              <m:t>RBCs×MCV</m:t>
            </m:r>
          </m:num>
          <m:den>
            <m:r>
              <m:rPr>
                <m:sty m:val="p"/>
              </m:rPr>
              <w:rPr>
                <w:rFonts w:ascii="Cambria Math" w:hAnsi="Cambria Math" w:cstheme="majorBidi"/>
                <w:color w:val="000000" w:themeColor="text1"/>
                <w:lang w:bidi="ar-EG"/>
              </w:rPr>
              <m:t>10</m:t>
            </m:r>
          </m:den>
        </m:f>
      </m:oMath>
      <w:bookmarkEnd w:id="2"/>
    </w:p>
    <w:p w14:paraId="56801B00" w14:textId="77777777" w:rsidR="00E21443" w:rsidRPr="009E19DD" w:rsidRDefault="00E21443" w:rsidP="003B735A">
      <w:pPr>
        <w:ind w:right="-525" w:firstLine="425"/>
        <w:jc w:val="both"/>
        <w:rPr>
          <w:rFonts w:asciiTheme="majorBidi" w:hAnsiTheme="majorBidi" w:cstheme="majorBidi"/>
        </w:rPr>
      </w:pPr>
      <w:r w:rsidRPr="009E19DD">
        <w:rPr>
          <w:rFonts w:asciiTheme="majorBidi" w:hAnsiTheme="majorBidi" w:cstheme="majorBidi"/>
        </w:rPr>
        <w:t>The mean corpuscular volume (MCV) calculation uses HCT and RBC count. MCV (fL) = HCT (%) × 10 / RBC count (10</w:t>
      </w:r>
      <w:r w:rsidRPr="009E19DD">
        <w:rPr>
          <w:rFonts w:asciiTheme="majorBidi" w:hAnsiTheme="majorBidi" w:cstheme="majorBidi"/>
          <w:vertAlign w:val="superscript"/>
        </w:rPr>
        <w:t>12</w:t>
      </w:r>
      <w:r w:rsidRPr="009E19DD">
        <w:rPr>
          <w:rFonts w:asciiTheme="majorBidi" w:hAnsiTheme="majorBidi" w:cstheme="majorBidi"/>
        </w:rPr>
        <w:t xml:space="preserve">/L) </w:t>
      </w:r>
    </w:p>
    <w:p w14:paraId="7C7D9BA9" w14:textId="2EA770D4" w:rsidR="00E21443" w:rsidRPr="005904C8" w:rsidRDefault="00E21443" w:rsidP="003B735A">
      <w:pPr>
        <w:ind w:right="42" w:firstLine="425"/>
        <w:jc w:val="both"/>
        <w:rPr>
          <w:rFonts w:asciiTheme="majorBidi" w:hAnsiTheme="majorBidi" w:cstheme="majorBidi"/>
        </w:rPr>
      </w:pPr>
      <w:r w:rsidRPr="009E19DD">
        <w:rPr>
          <w:rFonts w:asciiTheme="majorBidi" w:hAnsiTheme="majorBidi" w:cstheme="majorBidi"/>
        </w:rPr>
        <w:t xml:space="preserve">Mean corpuscular hemoglobin concentration (MCHC) is calculated with Hb concentration HCT MCHC (%) = Hb concentration (g/dL) / HCT (%) × 100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&lt;EndNote&gt;&lt;Cite&gt;&lt;Author&gt;Brecher&lt;/Author&gt;&lt;Year&gt;1997&lt;/Year&gt;&lt;RecNum&gt;20&lt;/RecNum&gt;&lt;DisplayText&gt;[21]&lt;/DisplayText&gt;&lt;record&gt;&lt;rec-number&gt;20&lt;/rec-number&gt;&lt;foreign-keys&gt;&lt;key app="EN" db-id="p50etfvw0vx2rxeas51ppx2udswf5rra0x99" timestamp="0"&gt;20&lt;/key&gt;&lt;/foreign-keys&gt;&lt;ref-type name="Journal Article"&gt;17&lt;/ref-type&gt;&lt;contributors&gt;&lt;authors&gt;&lt;author&gt;Brecher, ME&lt;/author&gt;&lt;author&gt;Monk, T&lt;/author&gt;&lt;author&gt;Goodnough, LT&lt;/author&gt;&lt;/authors&gt;&lt;/contributors&gt;&lt;titles&gt;&lt;title&gt;A standardized method for calculating blood loss&lt;/title&gt;&lt;secondary-title&gt;Transfusion&lt;/secondary-title&gt;&lt;/titles&gt;&lt;pages&gt;1070-1074&lt;/pages&gt;&lt;volume&gt;37&lt;/volume&gt;&lt;number&gt;10&lt;/number&gt;&lt;dates&gt;&lt;year&gt;1997&lt;/year&gt;&lt;/dates&gt;&lt;isbn&gt;0041-1132&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[21]</w:t>
      </w:r>
      <w:r w:rsidRPr="009E19DD">
        <w:rPr>
          <w:rFonts w:asciiTheme="majorBidi" w:hAnsiTheme="majorBidi" w:cstheme="majorBidi"/>
          <w:color w:val="00B0F0"/>
        </w:rPr>
        <w:fldChar w:fldCharType="end"/>
      </w:r>
    </w:p>
    <w:p w14:paraId="79C993FC" w14:textId="77777777" w:rsidR="00E21443" w:rsidRPr="009E19DD" w:rsidRDefault="00E21443" w:rsidP="003B735A">
      <w:pPr>
        <w:ind w:right="-525" w:firstLine="425"/>
        <w:jc w:val="both"/>
        <w:rPr>
          <w:rFonts w:asciiTheme="majorBidi" w:eastAsiaTheme="minorEastAsia" w:hAnsiTheme="majorBidi" w:cstheme="majorBidi"/>
          <w:color w:val="000000" w:themeColor="text1"/>
          <w:lang w:bidi="ar-EG"/>
        </w:rPr>
      </w:pPr>
      <w:r w:rsidRPr="009E19DD">
        <w:rPr>
          <w:rFonts w:asciiTheme="majorBidi" w:hAnsiTheme="majorBidi" w:cstheme="majorBidi"/>
          <w:color w:val="000000" w:themeColor="text1"/>
        </w:rPr>
        <w:t xml:space="preserve">MCH (pg) = </w:t>
      </w:r>
      <m:oMath>
        <m:f>
          <m:fPr>
            <m:ctrlPr>
              <w:rPr>
                <w:rFonts w:ascii="Cambria Math" w:hAnsi="Cambria Math" w:cstheme="majorBidi"/>
                <w:color w:val="000000" w:themeColor="text1"/>
                <w:lang w:bidi="ar-EG"/>
              </w:rPr>
            </m:ctrlPr>
          </m:fPr>
          <m:num>
            <m:r>
              <w:rPr>
                <w:rFonts w:ascii="Cambria Math" w:hAnsi="Cambria Math" w:cstheme="majorBidi"/>
                <w:color w:val="000000" w:themeColor="text1"/>
                <w:lang w:bidi="ar-EG"/>
              </w:rPr>
              <m:t>Hb(g/dl)</m:t>
            </m:r>
          </m:num>
          <m:den>
            <m:r>
              <m:rPr>
                <m:sty m:val="p"/>
              </m:rPr>
              <w:rPr>
                <w:rFonts w:ascii="Cambria Math" w:hAnsi="Cambria Math" w:cstheme="majorBidi"/>
                <w:color w:val="000000" w:themeColor="text1"/>
                <w:lang w:bidi="ar-EG"/>
              </w:rPr>
              <m:t>RBCs(</m:t>
            </m:r>
            <m:sSup>
              <m:sSupPr>
                <m:ctrlPr>
                  <w:rPr>
                    <w:rFonts w:ascii="Cambria Math" w:hAnsi="Cambria Math" w:cstheme="majorBidi"/>
                    <w:color w:val="000000" w:themeColor="text1"/>
                    <w:lang w:bidi="ar-EG"/>
                  </w:rPr>
                </m:ctrlPr>
              </m:sSupPr>
              <m:e>
                <m:r>
                  <m:rPr>
                    <m:sty m:val="p"/>
                  </m:rPr>
                  <w:rPr>
                    <w:rFonts w:ascii="Cambria Math" w:hAnsi="Cambria Math" w:cstheme="majorBidi"/>
                    <w:color w:val="000000" w:themeColor="text1"/>
                    <w:lang w:bidi="ar-EG"/>
                  </w:rPr>
                  <m:t>10</m:t>
                </m:r>
              </m:e>
              <m:sup>
                <m:r>
                  <m:rPr>
                    <m:sty m:val="p"/>
                  </m:rPr>
                  <w:rPr>
                    <w:rFonts w:ascii="Cambria Math" w:hAnsi="Cambria Math" w:cstheme="majorBidi"/>
                    <w:color w:val="000000" w:themeColor="text1"/>
                    <w:lang w:bidi="ar-EG"/>
                  </w:rPr>
                  <m:t>12</m:t>
                </m:r>
              </m:sup>
            </m:sSup>
            <m:r>
              <w:rPr>
                <w:rFonts w:ascii="Cambria Math" w:hAnsi="Cambria Math" w:cstheme="majorBidi"/>
                <w:color w:val="000000" w:themeColor="text1"/>
                <w:lang w:bidi="ar-EG"/>
              </w:rPr>
              <m:t>)/L</m:t>
            </m:r>
          </m:den>
        </m:f>
        <m:r>
          <w:rPr>
            <w:rFonts w:ascii="Cambria Math" w:hAnsi="Cambria Math" w:cstheme="majorBidi"/>
            <w:color w:val="000000" w:themeColor="text1"/>
            <w:lang w:bidi="ar-EG"/>
          </w:rPr>
          <m:t>×100</m:t>
        </m:r>
      </m:oMath>
    </w:p>
    <w:p w14:paraId="453F1279" w14:textId="061B120A" w:rsidR="00E21443" w:rsidRPr="009E19DD" w:rsidRDefault="00E21443" w:rsidP="003B735A">
      <w:pPr>
        <w:ind w:right="42"/>
        <w:jc w:val="both"/>
        <w:rPr>
          <w:rFonts w:asciiTheme="majorBidi" w:eastAsiaTheme="minorEastAsia" w:hAnsiTheme="majorBidi" w:cstheme="majorBidi"/>
          <w:color w:val="000000" w:themeColor="text1"/>
          <w:lang w:bidi="ar-EG"/>
        </w:rPr>
      </w:pPr>
      <w:r w:rsidRPr="009E19DD">
        <w:rPr>
          <w:rFonts w:asciiTheme="majorBidi" w:hAnsiTheme="majorBidi" w:cstheme="majorBidi"/>
          <w:color w:val="000000" w:themeColor="text1"/>
          <w:lang w:bidi="ar-EG"/>
        </w:rPr>
        <w:t>The analyzer electronically determines the mean platelet volume (MPV, Fl) and platelet distribution width (PDW) based on the PLT histogram.</w:t>
      </w:r>
      <w:r w:rsidR="003D42CC">
        <w:rPr>
          <w:rFonts w:asciiTheme="majorBidi" w:hAnsiTheme="majorBidi" w:cstheme="majorBidi"/>
          <w:color w:val="000000" w:themeColor="text1"/>
          <w:lang w:bidi="ar-EG"/>
        </w:rPr>
        <w:t xml:space="preserve"> </w:t>
      </w:r>
      <w:r w:rsidRPr="009E19DD">
        <w:rPr>
          <w:rFonts w:asciiTheme="majorBidi" w:hAnsiTheme="majorBidi" w:cstheme="majorBidi"/>
          <w:color w:val="000000" w:themeColor="text1"/>
          <w:lang w:bidi="ar-EG"/>
        </w:rPr>
        <w:t>The</w:t>
      </w:r>
      <w:r w:rsidR="003D42CC">
        <w:rPr>
          <w:rFonts w:asciiTheme="majorBidi" w:hAnsiTheme="majorBidi" w:cstheme="majorBidi"/>
          <w:color w:val="000000" w:themeColor="text1"/>
          <w:lang w:bidi="ar-EG"/>
        </w:rPr>
        <w:t xml:space="preserve"> </w:t>
      </w:r>
      <w:r w:rsidRPr="009E19DD">
        <w:rPr>
          <w:rFonts w:asciiTheme="majorBidi" w:hAnsiTheme="majorBidi" w:cstheme="majorBidi"/>
          <w:color w:val="000000" w:themeColor="text1"/>
          <w:lang w:bidi="ar-EG"/>
        </w:rPr>
        <w:t xml:space="preserve">PLT </w:t>
      </w:r>
      <w:r w:rsidR="003D42CC">
        <w:rPr>
          <w:rFonts w:asciiTheme="majorBidi" w:hAnsiTheme="majorBidi" w:cstheme="majorBidi"/>
          <w:color w:val="000000" w:themeColor="text1"/>
          <w:lang w:bidi="ar-EG"/>
        </w:rPr>
        <w:t>c</w:t>
      </w:r>
      <w:r w:rsidRPr="009E19DD">
        <w:rPr>
          <w:rFonts w:asciiTheme="majorBidi" w:hAnsiTheme="majorBidi" w:cstheme="majorBidi"/>
          <w:color w:val="000000" w:themeColor="text1"/>
          <w:lang w:bidi="ar-EG"/>
        </w:rPr>
        <w:t>ount(10</w:t>
      </w:r>
      <w:r w:rsidRPr="009E19DD">
        <w:rPr>
          <w:rFonts w:asciiTheme="majorBidi" w:hAnsiTheme="majorBidi" w:cstheme="majorBidi"/>
          <w:color w:val="000000" w:themeColor="text1"/>
          <w:vertAlign w:val="superscript"/>
          <w:lang w:bidi="ar-EG"/>
        </w:rPr>
        <w:t>9</w:t>
      </w:r>
      <w:r w:rsidRPr="009E19DD">
        <w:rPr>
          <w:rFonts w:asciiTheme="majorBidi" w:hAnsiTheme="majorBidi" w:cstheme="majorBidi"/>
          <w:color w:val="000000" w:themeColor="text1"/>
          <w:lang w:bidi="ar-EG"/>
        </w:rPr>
        <w:t>/L)</w:t>
      </w:r>
      <w:r w:rsidR="003D42CC">
        <w:rPr>
          <w:rFonts w:asciiTheme="majorBidi" w:hAnsiTheme="majorBidi" w:cstheme="majorBidi"/>
          <w:color w:val="000000" w:themeColor="text1"/>
          <w:lang w:bidi="ar-EG"/>
        </w:rPr>
        <w:t xml:space="preserve"> </w:t>
      </w:r>
      <w:r w:rsidRPr="009E19DD">
        <w:rPr>
          <w:rFonts w:asciiTheme="majorBidi" w:hAnsiTheme="majorBidi" w:cstheme="majorBidi"/>
          <w:color w:val="000000" w:themeColor="text1"/>
          <w:lang w:bidi="ar-EG"/>
        </w:rPr>
        <w:t>immediately measured by counting the platelets passing through the aperture. The following formula is used to derive PCT:</w:t>
      </w:r>
    </w:p>
    <w:p w14:paraId="1FB48367" w14:textId="77777777" w:rsidR="00E21443" w:rsidRPr="009E19DD" w:rsidRDefault="00E21443" w:rsidP="003B735A">
      <w:pPr>
        <w:ind w:right="467"/>
        <w:jc w:val="both"/>
        <w:rPr>
          <w:rFonts w:asciiTheme="majorBidi" w:eastAsiaTheme="minorEastAsia" w:hAnsiTheme="majorBidi" w:cstheme="majorBidi"/>
          <w:color w:val="000000" w:themeColor="text1"/>
          <w:lang w:bidi="ar-EG"/>
        </w:rPr>
      </w:pPr>
      <w:r w:rsidRPr="009E19DD">
        <w:rPr>
          <w:rFonts w:asciiTheme="majorBidi" w:hAnsiTheme="majorBidi" w:cstheme="majorBidi"/>
          <w:color w:val="000000" w:themeColor="text1"/>
          <w:lang w:bidi="ar-EG"/>
        </w:rPr>
        <w:t xml:space="preserve">PCT% = </w:t>
      </w:r>
      <m:oMath>
        <m:f>
          <m:fPr>
            <m:ctrlPr>
              <w:rPr>
                <w:rFonts w:ascii="Cambria Math" w:hAnsi="Cambria Math" w:cstheme="majorBidi"/>
                <w:color w:val="000000" w:themeColor="text1"/>
                <w:lang w:bidi="ar-EG"/>
              </w:rPr>
            </m:ctrlPr>
          </m:fPr>
          <m:num>
            <m:r>
              <w:rPr>
                <w:rFonts w:ascii="Cambria Math" w:hAnsi="Cambria Math" w:cstheme="majorBidi"/>
                <w:color w:val="000000" w:themeColor="text1"/>
                <w:lang w:bidi="ar-EG"/>
              </w:rPr>
              <m:t>PLT(</m:t>
            </m:r>
            <m:sSup>
              <m:sSupPr>
                <m:ctrlPr>
                  <w:rPr>
                    <w:rFonts w:ascii="Cambria Math" w:hAnsi="Cambria Math" w:cstheme="majorBidi"/>
                    <w:i/>
                    <w:color w:val="000000" w:themeColor="text1"/>
                    <w:lang w:bidi="ar-EG"/>
                  </w:rPr>
                </m:ctrlPr>
              </m:sSupPr>
              <m:e>
                <m:r>
                  <w:rPr>
                    <w:rFonts w:ascii="Cambria Math" w:hAnsi="Cambria Math" w:cstheme="majorBidi"/>
                    <w:color w:val="000000" w:themeColor="text1"/>
                    <w:lang w:bidi="ar-EG"/>
                  </w:rPr>
                  <m:t>10</m:t>
                </m:r>
              </m:e>
              <m:sup>
                <m:r>
                  <w:rPr>
                    <w:rFonts w:ascii="Cambria Math" w:hAnsi="Cambria Math" w:cstheme="majorBidi"/>
                    <w:color w:val="000000" w:themeColor="text1"/>
                    <w:lang w:bidi="ar-EG"/>
                  </w:rPr>
                  <m:t>9</m:t>
                </m:r>
              </m:sup>
            </m:sSup>
            <m:r>
              <w:rPr>
                <w:rFonts w:ascii="Cambria Math" w:hAnsi="Cambria Math" w:cstheme="majorBidi"/>
                <w:color w:val="000000" w:themeColor="text1"/>
                <w:lang w:bidi="ar-EG"/>
              </w:rPr>
              <m:t>/L)×MPV(fl)</m:t>
            </m:r>
          </m:num>
          <m:den>
            <m:r>
              <m:rPr>
                <m:sty m:val="p"/>
              </m:rPr>
              <w:rPr>
                <w:rFonts w:ascii="Cambria Math" w:hAnsi="Cambria Math" w:cstheme="majorBidi"/>
                <w:color w:val="000000" w:themeColor="text1"/>
                <w:lang w:bidi="ar-EG"/>
              </w:rPr>
              <m:t>10</m:t>
            </m:r>
          </m:den>
        </m:f>
      </m:oMath>
    </w:p>
    <w:p w14:paraId="6B21B8EB" w14:textId="58F4F592" w:rsidR="00E21443" w:rsidRPr="009E19DD" w:rsidRDefault="00E21443" w:rsidP="003B735A">
      <w:pPr>
        <w:ind w:right="467"/>
        <w:jc w:val="both"/>
        <w:rPr>
          <w:rFonts w:asciiTheme="majorBidi" w:eastAsiaTheme="minorEastAsia" w:hAnsiTheme="majorBidi" w:cstheme="majorBidi"/>
          <w:color w:val="000000" w:themeColor="text1"/>
          <w:lang w:bidi="ar-EG"/>
        </w:rPr>
      </w:pPr>
      <w:r w:rsidRPr="009E19DD">
        <w:rPr>
          <w:rFonts w:asciiTheme="majorBidi" w:hAnsiTheme="majorBidi" w:cstheme="majorBidi"/>
          <w:color w:val="000000" w:themeColor="text1"/>
          <w:lang w:bidi="ar-EG"/>
        </w:rPr>
        <w:t xml:space="preserve">White blood cell (WBCS) count and differential leukocyte count (neutrophils, lymphocytes, monocytes, eosinophils, and basophils) are examples of leukocytic parameters that have been manually calculated using a hemocytometer </w:t>
      </w:r>
      <w:r w:rsidRPr="009E19DD">
        <w:rPr>
          <w:rFonts w:asciiTheme="majorBidi" w:hAnsiTheme="majorBidi" w:cstheme="majorBidi"/>
          <w:color w:val="00B0F0"/>
          <w:lang w:bidi="ar-EG"/>
        </w:rPr>
        <w:fldChar w:fldCharType="begin"/>
      </w:r>
      <w:r w:rsidR="00586342">
        <w:rPr>
          <w:rFonts w:asciiTheme="majorBidi" w:hAnsiTheme="majorBidi" w:cstheme="majorBidi"/>
          <w:color w:val="00B0F0"/>
          <w:lang w:bidi="ar-EG"/>
        </w:rPr>
        <w:instrText xml:space="preserve"> ADDIN EN.CITE &lt;EndNote&gt;&lt;Cite&gt;&lt;Author&gt;Doig&lt;/Author&gt;&lt;Year&gt;2017&lt;/Year&gt;&lt;RecNum&gt;22&lt;/RecNum&gt;&lt;DisplayText&gt;[22]&lt;/DisplayText&gt;&lt;record&gt;&lt;rec-number&gt;22&lt;/rec-number&gt;&lt;foreign-keys&gt;&lt;key app="EN" db-id="p50etfvw0vx2rxeas51ppx2udswf5rra0x99" timestamp="0"&gt;22&lt;/key&gt;&lt;/foreign-keys&gt;&lt;ref-type name="Journal Article"&gt;17&lt;/ref-type&gt;&lt;contributors&gt;&lt;authors&gt;&lt;author&gt;Doig, Kathy&lt;/author&gt;&lt;author&gt;Thompson, Leslie A&lt;/author&gt;&lt;/authors&gt;&lt;/contributors&gt;&lt;titles&gt;&lt;title&gt;A methodical approach to interpreting the white blood cell parameters of the complete blood count&lt;/title&gt;&lt;secondary-title&gt;American Society for Clinical Laboratory Science&lt;/secondary-title&gt;&lt;/titles&gt;&lt;pages&gt;186-193&lt;/pages&gt;&lt;volume&gt;30&lt;/volume&gt;&lt;number&gt;3&lt;/number&gt;&lt;dates&gt;&lt;year&gt;2017&lt;/year&gt;&lt;/dates&gt;&lt;isbn&gt;0894-959X&lt;/isbn&gt;&lt;urls&gt;&lt;/urls&gt;&lt;/record&gt;&lt;/Cite&gt;&lt;/EndNote&gt;</w:instrText>
      </w:r>
      <w:r w:rsidRPr="009E19DD">
        <w:rPr>
          <w:rFonts w:asciiTheme="majorBidi" w:hAnsiTheme="majorBidi" w:cstheme="majorBidi"/>
          <w:color w:val="00B0F0"/>
          <w:lang w:bidi="ar-EG"/>
        </w:rPr>
        <w:fldChar w:fldCharType="separate"/>
      </w:r>
      <w:r w:rsidR="00586342">
        <w:rPr>
          <w:rFonts w:asciiTheme="majorBidi" w:hAnsiTheme="majorBidi" w:cstheme="majorBidi"/>
          <w:noProof/>
          <w:color w:val="00B0F0"/>
          <w:lang w:bidi="ar-EG"/>
        </w:rPr>
        <w:t>[22]</w:t>
      </w:r>
      <w:r w:rsidRPr="009E19DD">
        <w:rPr>
          <w:rFonts w:asciiTheme="majorBidi" w:hAnsiTheme="majorBidi" w:cstheme="majorBidi"/>
          <w:color w:val="00B0F0"/>
          <w:lang w:bidi="ar-EG"/>
        </w:rPr>
        <w:fldChar w:fldCharType="end"/>
      </w:r>
      <w:r w:rsidRPr="009E19DD">
        <w:rPr>
          <w:rFonts w:asciiTheme="majorBidi" w:hAnsiTheme="majorBidi" w:cstheme="majorBidi"/>
          <w:color w:val="00B0F0"/>
          <w:lang w:bidi="ar-EG"/>
        </w:rPr>
        <w:t>.</w:t>
      </w:r>
    </w:p>
    <w:p w14:paraId="583B95A6" w14:textId="77777777" w:rsidR="003D42CC" w:rsidRDefault="003D42CC" w:rsidP="003B735A">
      <w:pPr>
        <w:ind w:right="467"/>
        <w:jc w:val="both"/>
        <w:rPr>
          <w:rFonts w:asciiTheme="majorBidi" w:hAnsiTheme="majorBidi" w:cstheme="majorBidi"/>
          <w:b/>
          <w:bCs/>
          <w:color w:val="000000" w:themeColor="text1"/>
          <w:lang w:bidi="ar-EG"/>
        </w:rPr>
      </w:pPr>
    </w:p>
    <w:p w14:paraId="07BFF98C" w14:textId="5C8E400A" w:rsidR="00E21443" w:rsidRPr="009E19DD" w:rsidRDefault="00E21443" w:rsidP="003B735A">
      <w:pPr>
        <w:ind w:right="467"/>
        <w:jc w:val="both"/>
        <w:rPr>
          <w:rFonts w:asciiTheme="majorBidi" w:hAnsiTheme="majorBidi" w:cstheme="majorBidi"/>
          <w:b/>
          <w:bCs/>
          <w:color w:val="000000" w:themeColor="text1"/>
          <w:lang w:bidi="ar-EG"/>
        </w:rPr>
      </w:pPr>
      <w:r w:rsidRPr="009E19DD">
        <w:rPr>
          <w:rFonts w:asciiTheme="majorBidi" w:hAnsiTheme="majorBidi" w:cstheme="majorBidi"/>
          <w:b/>
          <w:bCs/>
          <w:color w:val="000000" w:themeColor="text1"/>
          <w:lang w:bidi="ar-EG"/>
        </w:rPr>
        <w:t>Data presentation and analysis:</w:t>
      </w:r>
    </w:p>
    <w:p w14:paraId="5D72A2F6" w14:textId="064B4C16" w:rsidR="003D42CC" w:rsidRDefault="00890AAE" w:rsidP="007E1E3A">
      <w:pPr>
        <w:tabs>
          <w:tab w:val="left" w:pos="284"/>
          <w:tab w:val="left" w:pos="426"/>
        </w:tabs>
        <w:jc w:val="both"/>
        <w:rPr>
          <w:rFonts w:asciiTheme="majorBidi" w:hAnsiTheme="majorBidi" w:cstheme="majorBidi"/>
        </w:rPr>
      </w:pPr>
      <w:r>
        <w:rPr>
          <w:rFonts w:asciiTheme="majorBidi" w:hAnsiTheme="majorBidi" w:cstheme="majorBidi"/>
          <w:b/>
          <w:bCs/>
          <w:color w:val="000000" w:themeColor="text1"/>
          <w:lang w:bidi="ar-EG"/>
        </w:rPr>
        <w:tab/>
      </w:r>
      <w:r w:rsidR="00E21443" w:rsidRPr="009E19DD">
        <w:rPr>
          <w:rFonts w:asciiTheme="majorBidi" w:hAnsiTheme="majorBidi" w:cstheme="majorBidi"/>
        </w:rPr>
        <w:t>All data are represented as mean ±SE of 4 observations. One-way analysis of variance (ANOVA) followed by Tukey’s post-hoc tests were done using GraphPad Prism® software for Windows (version 8.</w:t>
      </w:r>
      <w:r w:rsidR="00E21443" w:rsidRPr="009E19DD">
        <w:rPr>
          <w:rFonts w:asciiTheme="majorBidi" w:hAnsiTheme="majorBidi" w:cstheme="majorBidi"/>
          <w:rtl/>
        </w:rPr>
        <w:t>4</w:t>
      </w:r>
      <w:r w:rsidR="00E21443" w:rsidRPr="009E19DD">
        <w:rPr>
          <w:rFonts w:asciiTheme="majorBidi" w:hAnsiTheme="majorBidi" w:cstheme="majorBidi"/>
        </w:rPr>
        <w:t>.</w:t>
      </w:r>
      <w:r w:rsidR="00E21443" w:rsidRPr="009E19DD">
        <w:rPr>
          <w:rFonts w:asciiTheme="majorBidi" w:hAnsiTheme="majorBidi" w:cstheme="majorBidi"/>
          <w:rtl/>
        </w:rPr>
        <w:t>2</w:t>
      </w:r>
      <w:r w:rsidR="00E21443" w:rsidRPr="009E19DD">
        <w:rPr>
          <w:rFonts w:asciiTheme="majorBidi" w:hAnsiTheme="majorBidi" w:cstheme="majorBidi"/>
        </w:rPr>
        <w:t>, San Diego, CA, USA)</w:t>
      </w:r>
      <w:r w:rsidR="00E21443" w:rsidRPr="009E19DD">
        <w:rPr>
          <w:rFonts w:asciiTheme="majorBidi" w:hAnsiTheme="majorBidi" w:cstheme="majorBidi"/>
          <w:rtl/>
        </w:rPr>
        <w:t xml:space="preserve"> </w:t>
      </w:r>
      <w:r w:rsidR="00E21443" w:rsidRPr="009E19DD">
        <w:rPr>
          <w:rFonts w:asciiTheme="majorBidi" w:hAnsiTheme="majorBidi" w:cstheme="majorBidi"/>
        </w:rPr>
        <w:t xml:space="preserve">to determine the significant differences among groups. Values were considered significant at P value &lt; 0.0001. Potential of </w:t>
      </w:r>
      <w:r w:rsidR="00E21443" w:rsidRPr="009E19DD">
        <w:rPr>
          <w:rFonts w:asciiTheme="majorBidi" w:hAnsiTheme="majorBidi" w:cstheme="majorBidi"/>
          <w:i/>
          <w:iCs/>
        </w:rPr>
        <w:t>VRE</w:t>
      </w:r>
      <w:r w:rsidR="00E21443" w:rsidRPr="009E19DD">
        <w:rPr>
          <w:rFonts w:asciiTheme="majorBidi" w:hAnsiTheme="majorBidi" w:cstheme="majorBidi"/>
        </w:rPr>
        <w:t xml:space="preserve"> was standardized as % of the effect of 5- FU.</w:t>
      </w:r>
      <w:bookmarkEnd w:id="1"/>
    </w:p>
    <w:p w14:paraId="3FE280DF" w14:textId="77777777" w:rsidR="009536D7" w:rsidRDefault="009536D7" w:rsidP="003B735A">
      <w:pPr>
        <w:jc w:val="both"/>
        <w:rPr>
          <w:rFonts w:asciiTheme="majorBidi" w:hAnsiTheme="majorBidi" w:cstheme="majorBidi"/>
          <w:b/>
          <w:bCs/>
          <w:color w:val="000000" w:themeColor="text1"/>
          <w:u w:val="single"/>
        </w:rPr>
      </w:pPr>
    </w:p>
    <w:p w14:paraId="7A0C94F2" w14:textId="60DAF00F" w:rsidR="009536D7" w:rsidRDefault="00C31F3D" w:rsidP="007E1E3A">
      <w:pPr>
        <w:jc w:val="both"/>
        <w:rPr>
          <w:rFonts w:asciiTheme="majorBidi" w:hAnsiTheme="majorBidi" w:cstheme="majorBidi"/>
        </w:rPr>
      </w:pPr>
      <w:r>
        <w:rPr>
          <w:rFonts w:asciiTheme="majorBidi" w:hAnsiTheme="majorBidi" w:cstheme="majorBidi"/>
          <w:b/>
          <w:bCs/>
          <w:color w:val="000000" w:themeColor="text1"/>
          <w:u w:val="single"/>
        </w:rPr>
        <w:t>Results</w:t>
      </w:r>
    </w:p>
    <w:p w14:paraId="6F8B0915" w14:textId="77777777" w:rsidR="007E1E3A" w:rsidRPr="007E1E3A" w:rsidRDefault="007E1E3A" w:rsidP="007E1E3A">
      <w:pPr>
        <w:jc w:val="both"/>
        <w:rPr>
          <w:rFonts w:asciiTheme="majorBidi" w:hAnsiTheme="majorBidi" w:cstheme="majorBidi"/>
        </w:rPr>
      </w:pPr>
    </w:p>
    <w:p w14:paraId="46242571" w14:textId="33FC887B" w:rsidR="00F167B6" w:rsidRPr="009E19DD" w:rsidRDefault="00F167B6" w:rsidP="003B735A">
      <w:pPr>
        <w:jc w:val="both"/>
        <w:rPr>
          <w:rFonts w:asciiTheme="majorBidi" w:hAnsiTheme="majorBidi" w:cstheme="majorBidi"/>
          <w:b/>
          <w:bCs/>
        </w:rPr>
      </w:pPr>
      <w:r w:rsidRPr="009E19DD">
        <w:rPr>
          <w:rFonts w:asciiTheme="majorBidi" w:hAnsiTheme="majorBidi" w:cstheme="majorBidi"/>
          <w:b/>
          <w:bCs/>
        </w:rPr>
        <w:t xml:space="preserve">Erythrocytic analysis </w:t>
      </w:r>
    </w:p>
    <w:p w14:paraId="17745EBD" w14:textId="0D966832" w:rsidR="00021EE5" w:rsidRDefault="007E1E3A" w:rsidP="00021EE5">
      <w:pPr>
        <w:tabs>
          <w:tab w:val="left" w:pos="284"/>
          <w:tab w:val="left" w:pos="426"/>
        </w:tabs>
        <w:jc w:val="both"/>
        <w:rPr>
          <w:rFonts w:asciiTheme="majorBidi" w:hAnsiTheme="majorBidi" w:cstheme="majorBidi"/>
        </w:rPr>
      </w:pPr>
      <w:r>
        <w:rPr>
          <w:kern w:val="36"/>
        </w:rPr>
        <w:tab/>
        <w:t xml:space="preserve">As shown in </w:t>
      </w:r>
      <w:r>
        <w:rPr>
          <w:color w:val="000000" w:themeColor="text1"/>
          <w:kern w:val="36"/>
        </w:rPr>
        <w:t xml:space="preserve">table 1 and figure </w:t>
      </w:r>
      <w:r w:rsidR="003F79A4">
        <w:rPr>
          <w:color w:val="000000" w:themeColor="text1"/>
          <w:kern w:val="36"/>
        </w:rPr>
        <w:t>1</w:t>
      </w:r>
      <w:r>
        <w:rPr>
          <w:color w:val="000000" w:themeColor="text1"/>
          <w:kern w:val="36"/>
        </w:rPr>
        <w:t xml:space="preserve">; the </w:t>
      </w:r>
      <w:r>
        <w:rPr>
          <w:kern w:val="36"/>
        </w:rPr>
        <w:t>blood samples</w:t>
      </w:r>
      <w:r w:rsidR="00F167B6" w:rsidRPr="009E19DD">
        <w:rPr>
          <w:rFonts w:asciiTheme="majorBidi" w:hAnsiTheme="majorBidi" w:cstheme="majorBidi"/>
          <w:kern w:val="36"/>
        </w:rPr>
        <w:t xml:space="preserve"> in control group have shown normal values, </w:t>
      </w:r>
      <w:r w:rsidR="00021EE5" w:rsidRPr="00677C19">
        <w:rPr>
          <w:rFonts w:asciiTheme="majorBidi" w:hAnsiTheme="majorBidi" w:cstheme="majorBidi"/>
          <w:kern w:val="36"/>
        </w:rPr>
        <w:t>in</w:t>
      </w:r>
      <w:r w:rsidR="00677C19" w:rsidRPr="00677C19">
        <w:rPr>
          <w:rFonts w:asciiTheme="majorBidi" w:hAnsiTheme="majorBidi" w:cstheme="majorBidi"/>
          <w:kern w:val="36"/>
        </w:rPr>
        <w:t xml:space="preserve"> group 2, the positive control rats did not reveal any significant changes in RBC count following administration of DMH (40 mg/kg in 1 mM EDTA)</w:t>
      </w:r>
      <w:r w:rsidR="00677C19">
        <w:rPr>
          <w:rFonts w:asciiTheme="majorBidi" w:hAnsiTheme="majorBidi" w:cstheme="majorBidi"/>
          <w:kern w:val="36"/>
        </w:rPr>
        <w:t>,</w:t>
      </w:r>
      <w:r w:rsidR="00F167B6" w:rsidRPr="009E19DD">
        <w:rPr>
          <w:rFonts w:asciiTheme="majorBidi" w:hAnsiTheme="majorBidi" w:cstheme="majorBidi"/>
        </w:rPr>
        <w:t xml:space="preserve"> compared with those of control samples. Administration of </w:t>
      </w:r>
      <w:r w:rsidR="00F167B6" w:rsidRPr="009E19DD">
        <w:rPr>
          <w:rFonts w:asciiTheme="majorBidi" w:hAnsiTheme="majorBidi" w:cstheme="majorBidi"/>
          <w:i/>
          <w:iCs/>
        </w:rPr>
        <w:t xml:space="preserve">VRE </w:t>
      </w:r>
      <w:r w:rsidR="00F167B6" w:rsidRPr="009E19DD">
        <w:rPr>
          <w:rFonts w:asciiTheme="majorBidi" w:hAnsiTheme="majorBidi" w:cstheme="majorBidi"/>
        </w:rPr>
        <w:t>along with DMH to rats not revealed any significant changes in RBCs count if compared with that of the positive control group</w:t>
      </w:r>
      <w:r w:rsidR="00021EE5" w:rsidRPr="00021EE5">
        <w:t xml:space="preserve"> </w:t>
      </w:r>
      <w:r w:rsidR="00021EE5" w:rsidRPr="00021EE5">
        <w:rPr>
          <w:rFonts w:asciiTheme="majorBidi" w:hAnsiTheme="majorBidi" w:cstheme="majorBidi"/>
        </w:rPr>
        <w:t>The potential produced by VRE was 96% after the small dose and 93% after the large dose, lower than that standardized against 5-FU.</w:t>
      </w:r>
    </w:p>
    <w:p w14:paraId="3F065E9E" w14:textId="485E50AD" w:rsidR="00F167B6" w:rsidRPr="009E19DD" w:rsidRDefault="00890AAE" w:rsidP="00890AAE">
      <w:pPr>
        <w:tabs>
          <w:tab w:val="left" w:pos="284"/>
          <w:tab w:val="left" w:pos="426"/>
          <w:tab w:val="left" w:pos="709"/>
        </w:tabs>
        <w:jc w:val="both"/>
        <w:rPr>
          <w:rFonts w:asciiTheme="majorBidi" w:hAnsiTheme="majorBidi" w:cstheme="majorBidi"/>
        </w:rPr>
      </w:pPr>
      <w:r>
        <w:rPr>
          <w:rFonts w:asciiTheme="majorBidi" w:hAnsiTheme="majorBidi" w:cstheme="majorBidi"/>
          <w:kern w:val="36"/>
        </w:rPr>
        <w:lastRenderedPageBreak/>
        <w:tab/>
      </w:r>
      <w:r>
        <w:rPr>
          <w:rFonts w:asciiTheme="majorBidi" w:hAnsiTheme="majorBidi" w:cstheme="majorBidi"/>
          <w:kern w:val="36"/>
        </w:rPr>
        <w:tab/>
      </w:r>
      <w:r>
        <w:rPr>
          <w:rFonts w:asciiTheme="majorBidi" w:hAnsiTheme="majorBidi" w:cstheme="majorBidi"/>
          <w:kern w:val="36"/>
        </w:rPr>
        <w:tab/>
      </w:r>
      <w:r w:rsidR="00EF3BBB" w:rsidRPr="00EF3BBB">
        <w:rPr>
          <w:rFonts w:asciiTheme="majorBidi" w:hAnsiTheme="majorBidi" w:cstheme="majorBidi"/>
          <w:kern w:val="36"/>
        </w:rPr>
        <w:t xml:space="preserve">As shown in table 1 and figure </w:t>
      </w:r>
      <w:r w:rsidR="003F79A4">
        <w:rPr>
          <w:rFonts w:asciiTheme="majorBidi" w:hAnsiTheme="majorBidi" w:cstheme="majorBidi"/>
          <w:kern w:val="36"/>
        </w:rPr>
        <w:t>2</w:t>
      </w:r>
      <w:r w:rsidR="00EF3BBB" w:rsidRPr="00EF3BBB">
        <w:rPr>
          <w:rFonts w:asciiTheme="majorBidi" w:hAnsiTheme="majorBidi" w:cstheme="majorBidi"/>
          <w:kern w:val="36"/>
        </w:rPr>
        <w:t>; blood samples in control group showed normal values, while those of positive control group (group 2) revealed significant changes (P value ≤ 0.05)</w:t>
      </w:r>
      <w:r w:rsidR="00F167B6" w:rsidRPr="009E19DD">
        <w:rPr>
          <w:rFonts w:asciiTheme="majorBidi" w:hAnsiTheme="majorBidi" w:cstheme="majorBidi"/>
        </w:rPr>
        <w:t xml:space="preserve"> </w:t>
      </w:r>
      <w:r w:rsidR="00F167B6" w:rsidRPr="009E19DD">
        <w:rPr>
          <w:rFonts w:asciiTheme="majorBidi" w:hAnsiTheme="majorBidi" w:cstheme="majorBidi"/>
          <w:kern w:val="36"/>
        </w:rPr>
        <w:t xml:space="preserve">in Hemoglobin   </w:t>
      </w:r>
      <w:r w:rsidR="00EF3BBB" w:rsidRPr="00EF3BBB">
        <w:rPr>
          <w:rFonts w:asciiTheme="majorBidi" w:hAnsiTheme="majorBidi" w:cstheme="majorBidi"/>
          <w:kern w:val="36"/>
        </w:rPr>
        <w:t>upon injecting rats with DMH 40 mg/kg in 1mM EDTA, compared to control</w:t>
      </w:r>
      <w:r w:rsidR="00F167B6" w:rsidRPr="009E19DD">
        <w:rPr>
          <w:rFonts w:asciiTheme="majorBidi" w:hAnsiTheme="majorBidi" w:cstheme="majorBidi"/>
        </w:rPr>
        <w:t xml:space="preserve">. Administration of </w:t>
      </w:r>
      <w:r w:rsidR="00F167B6" w:rsidRPr="009E19DD">
        <w:rPr>
          <w:rFonts w:asciiTheme="majorBidi" w:hAnsiTheme="majorBidi" w:cstheme="majorBidi"/>
          <w:i/>
          <w:iCs/>
        </w:rPr>
        <w:t xml:space="preserve">VRE </w:t>
      </w:r>
      <w:r w:rsidR="00F167B6" w:rsidRPr="009E19DD">
        <w:rPr>
          <w:rFonts w:asciiTheme="majorBidi" w:hAnsiTheme="majorBidi" w:cstheme="majorBidi"/>
        </w:rPr>
        <w:t xml:space="preserve">along with DMH to rats produced significant decrease in hemoglobin if compared with that of the positive control group. The potential% produced by </w:t>
      </w:r>
      <w:r w:rsidR="00F167B6" w:rsidRPr="009E19DD">
        <w:rPr>
          <w:rFonts w:asciiTheme="majorBidi" w:hAnsiTheme="majorBidi" w:cstheme="majorBidi"/>
          <w:i/>
          <w:iCs/>
        </w:rPr>
        <w:t xml:space="preserve">VRE </w:t>
      </w:r>
      <w:r w:rsidR="00F167B6" w:rsidRPr="009E19DD">
        <w:rPr>
          <w:rFonts w:asciiTheme="majorBidi" w:hAnsiTheme="majorBidi" w:cstheme="majorBidi"/>
        </w:rPr>
        <w:t xml:space="preserve">was </w:t>
      </w:r>
      <w:r w:rsidR="00F167B6">
        <w:rPr>
          <w:rFonts w:asciiTheme="majorBidi" w:hAnsiTheme="majorBidi" w:cstheme="majorBidi"/>
        </w:rPr>
        <w:t>97.4</w:t>
      </w:r>
      <w:r w:rsidR="00F167B6" w:rsidRPr="009E19DD">
        <w:rPr>
          <w:rFonts w:asciiTheme="majorBidi" w:hAnsiTheme="majorBidi" w:cstheme="majorBidi"/>
        </w:rPr>
        <w:t xml:space="preserve">% after small dose and 93% after large dose as when standardized against 5- FU. </w:t>
      </w:r>
    </w:p>
    <w:p w14:paraId="7D48ED41" w14:textId="0E279968" w:rsidR="00F167B6" w:rsidRDefault="006A41F5" w:rsidP="00890AAE">
      <w:pPr>
        <w:ind w:firstLine="720"/>
        <w:jc w:val="both"/>
        <w:rPr>
          <w:rFonts w:asciiTheme="majorBidi" w:hAnsiTheme="majorBidi" w:cstheme="majorBidi"/>
          <w:kern w:val="36"/>
        </w:rPr>
      </w:pPr>
      <w:r w:rsidRPr="006A41F5">
        <w:rPr>
          <w:rFonts w:asciiTheme="majorBidi" w:hAnsiTheme="majorBidi" w:cstheme="majorBidi"/>
          <w:kern w:val="36"/>
        </w:rPr>
        <w:t xml:space="preserve">As shown in table1 and figure </w:t>
      </w:r>
      <w:r w:rsidR="003F79A4">
        <w:rPr>
          <w:rFonts w:asciiTheme="majorBidi" w:hAnsiTheme="majorBidi" w:cstheme="majorBidi"/>
          <w:kern w:val="36"/>
        </w:rPr>
        <w:t>3</w:t>
      </w:r>
      <w:r w:rsidRPr="006A41F5">
        <w:rPr>
          <w:rFonts w:asciiTheme="majorBidi" w:hAnsiTheme="majorBidi" w:cstheme="majorBidi"/>
          <w:kern w:val="36"/>
        </w:rPr>
        <w:t>, the positive control group, (group 2)</w:t>
      </w:r>
      <w:r w:rsidR="00A31677">
        <w:rPr>
          <w:rFonts w:asciiTheme="majorBidi" w:hAnsiTheme="majorBidi" w:cstheme="majorBidi"/>
          <w:kern w:val="36"/>
        </w:rPr>
        <w:t xml:space="preserve"> did not</w:t>
      </w:r>
      <w:r w:rsidRPr="006A41F5">
        <w:rPr>
          <w:rFonts w:asciiTheme="majorBidi" w:hAnsiTheme="majorBidi" w:cstheme="majorBidi"/>
          <w:kern w:val="36"/>
        </w:rPr>
        <w:t xml:space="preserve"> reveal</w:t>
      </w:r>
      <w:r w:rsidR="00A31677">
        <w:rPr>
          <w:rFonts w:asciiTheme="majorBidi" w:hAnsiTheme="majorBidi" w:cstheme="majorBidi"/>
          <w:kern w:val="36"/>
        </w:rPr>
        <w:t xml:space="preserve"> any</w:t>
      </w:r>
      <w:r w:rsidRPr="006A41F5">
        <w:rPr>
          <w:rFonts w:asciiTheme="majorBidi" w:hAnsiTheme="majorBidi" w:cstheme="majorBidi"/>
          <w:kern w:val="36"/>
        </w:rPr>
        <w:t xml:space="preserve"> significant changes in Haematocrit upon injecting rats with DMH 40 mg/kg in 1mM EDTA, compared to control samples</w:t>
      </w:r>
      <w:r>
        <w:rPr>
          <w:rFonts w:asciiTheme="majorBidi" w:hAnsiTheme="majorBidi" w:cstheme="majorBidi"/>
          <w:kern w:val="36"/>
        </w:rPr>
        <w:t xml:space="preserve">. </w:t>
      </w:r>
      <w:r w:rsidRPr="006A41F5">
        <w:rPr>
          <w:rFonts w:asciiTheme="majorBidi" w:hAnsiTheme="majorBidi" w:cstheme="majorBidi"/>
          <w:kern w:val="36"/>
        </w:rPr>
        <w:t xml:space="preserve">Administration of </w:t>
      </w:r>
      <w:r w:rsidRPr="006A41F5">
        <w:rPr>
          <w:rFonts w:asciiTheme="majorBidi" w:hAnsiTheme="majorBidi" w:cstheme="majorBidi"/>
          <w:i/>
          <w:iCs/>
          <w:kern w:val="36"/>
        </w:rPr>
        <w:t>VRE</w:t>
      </w:r>
      <w:r w:rsidRPr="006A41F5">
        <w:rPr>
          <w:rFonts w:asciiTheme="majorBidi" w:hAnsiTheme="majorBidi" w:cstheme="majorBidi"/>
          <w:kern w:val="36"/>
        </w:rPr>
        <w:t xml:space="preserve"> along with DMH to rats did not show significant changes in haematocrit%; compared with that of the positive control group. The potential% produced by </w:t>
      </w:r>
      <w:r w:rsidRPr="006A41F5">
        <w:rPr>
          <w:rFonts w:asciiTheme="majorBidi" w:hAnsiTheme="majorBidi" w:cstheme="majorBidi"/>
          <w:i/>
          <w:iCs/>
          <w:kern w:val="36"/>
        </w:rPr>
        <w:t>VRE</w:t>
      </w:r>
      <w:r w:rsidRPr="006A41F5">
        <w:rPr>
          <w:rFonts w:asciiTheme="majorBidi" w:hAnsiTheme="majorBidi" w:cstheme="majorBidi"/>
          <w:kern w:val="36"/>
        </w:rPr>
        <w:t xml:space="preserve"> was 97.4% after small dose and 95% after large dose less than standardized against 5- FU.</w:t>
      </w:r>
    </w:p>
    <w:p w14:paraId="2C7BADE4" w14:textId="39BAB311" w:rsidR="003D42CC" w:rsidRDefault="00F167B6" w:rsidP="00890AAE">
      <w:pPr>
        <w:ind w:firstLine="720"/>
        <w:jc w:val="both"/>
        <w:rPr>
          <w:rFonts w:asciiTheme="majorBidi" w:hAnsiTheme="majorBidi" w:cstheme="majorBidi"/>
        </w:rPr>
      </w:pPr>
      <w:r w:rsidRPr="009E19DD">
        <w:rPr>
          <w:rFonts w:asciiTheme="majorBidi" w:hAnsiTheme="majorBidi" w:cstheme="majorBidi"/>
          <w:kern w:val="36"/>
        </w:rPr>
        <w:t xml:space="preserve">As shown in </w:t>
      </w:r>
      <w:r w:rsidRPr="009E19DD">
        <w:rPr>
          <w:rFonts w:asciiTheme="majorBidi" w:hAnsiTheme="majorBidi" w:cstheme="majorBidi"/>
          <w:color w:val="000000" w:themeColor="text1"/>
          <w:kern w:val="36"/>
        </w:rPr>
        <w:t xml:space="preserve">table </w:t>
      </w:r>
      <w:r w:rsidR="00A825C3">
        <w:rPr>
          <w:rFonts w:asciiTheme="majorBidi" w:hAnsiTheme="majorBidi" w:cstheme="majorBidi"/>
          <w:color w:val="000000" w:themeColor="text1"/>
          <w:kern w:val="36"/>
        </w:rPr>
        <w:t>1</w:t>
      </w:r>
      <w:r w:rsidRPr="009E19DD">
        <w:rPr>
          <w:rFonts w:asciiTheme="majorBidi" w:hAnsiTheme="majorBidi" w:cstheme="majorBidi"/>
          <w:color w:val="000000" w:themeColor="text1"/>
          <w:kern w:val="36"/>
        </w:rPr>
        <w:t xml:space="preserve"> and figure </w:t>
      </w:r>
      <w:r w:rsidR="003F79A4">
        <w:rPr>
          <w:rFonts w:asciiTheme="majorBidi" w:hAnsiTheme="majorBidi" w:cstheme="majorBidi"/>
          <w:color w:val="000000" w:themeColor="text1"/>
          <w:kern w:val="36"/>
        </w:rPr>
        <w:t>4</w:t>
      </w:r>
      <w:r w:rsidR="006A41F5">
        <w:rPr>
          <w:rFonts w:asciiTheme="majorBidi" w:hAnsiTheme="majorBidi" w:cstheme="majorBidi"/>
          <w:color w:val="000000" w:themeColor="text1"/>
          <w:kern w:val="36"/>
          <w:lang w:bidi="ar-EG"/>
        </w:rPr>
        <w:t>;</w:t>
      </w:r>
      <w:r>
        <w:rPr>
          <w:rFonts w:asciiTheme="majorBidi" w:hAnsiTheme="majorBidi" w:cstheme="majorBidi"/>
          <w:color w:val="000000" w:themeColor="text1"/>
          <w:kern w:val="36"/>
          <w:lang w:bidi="ar-EG"/>
        </w:rPr>
        <w:t xml:space="preserve"> </w:t>
      </w:r>
      <w:r w:rsidR="00A31677">
        <w:rPr>
          <w:rFonts w:asciiTheme="majorBidi" w:hAnsiTheme="majorBidi" w:cstheme="majorBidi"/>
          <w:color w:val="000000" w:themeColor="text1"/>
          <w:kern w:val="36"/>
          <w:lang w:bidi="ar-EG"/>
        </w:rPr>
        <w:t xml:space="preserve">the </w:t>
      </w:r>
      <w:r w:rsidRPr="009E19DD">
        <w:rPr>
          <w:rFonts w:asciiTheme="majorBidi" w:hAnsiTheme="majorBidi" w:cstheme="majorBidi"/>
          <w:kern w:val="36"/>
        </w:rPr>
        <w:t>blood samples in control group show</w:t>
      </w:r>
      <w:r w:rsidR="006A41F5">
        <w:rPr>
          <w:rFonts w:asciiTheme="majorBidi" w:hAnsiTheme="majorBidi" w:cstheme="majorBidi"/>
          <w:kern w:val="36"/>
        </w:rPr>
        <w:t>ed</w:t>
      </w:r>
      <w:r w:rsidRPr="009E19DD">
        <w:rPr>
          <w:rFonts w:asciiTheme="majorBidi" w:hAnsiTheme="majorBidi" w:cstheme="majorBidi"/>
          <w:kern w:val="36"/>
        </w:rPr>
        <w:t xml:space="preserve"> normal values, while those of positive control group</w:t>
      </w:r>
      <w:r w:rsidR="006A41F5" w:rsidRPr="006A41F5">
        <w:t xml:space="preserve"> </w:t>
      </w:r>
      <w:r w:rsidR="006A41F5">
        <w:t>(</w:t>
      </w:r>
      <w:r w:rsidR="006A41F5" w:rsidRPr="006A41F5">
        <w:rPr>
          <w:rFonts w:asciiTheme="majorBidi" w:hAnsiTheme="majorBidi" w:cstheme="majorBidi"/>
          <w:kern w:val="36"/>
        </w:rPr>
        <w:t>group</w:t>
      </w:r>
      <w:r w:rsidR="006A41F5">
        <w:rPr>
          <w:rFonts w:asciiTheme="majorBidi" w:hAnsiTheme="majorBidi" w:cstheme="majorBidi"/>
          <w:kern w:val="36"/>
        </w:rPr>
        <w:t xml:space="preserve"> </w:t>
      </w:r>
      <w:r w:rsidR="006A41F5" w:rsidRPr="006A41F5">
        <w:rPr>
          <w:rFonts w:asciiTheme="majorBidi" w:hAnsiTheme="majorBidi" w:cstheme="majorBidi"/>
          <w:kern w:val="36"/>
        </w:rPr>
        <w:t>2)</w:t>
      </w:r>
      <w:r w:rsidRPr="009E19DD">
        <w:rPr>
          <w:rFonts w:asciiTheme="majorBidi" w:hAnsiTheme="majorBidi" w:cstheme="majorBidi"/>
          <w:kern w:val="36"/>
        </w:rPr>
        <w:t xml:space="preserve">, </w:t>
      </w:r>
      <w:r w:rsidR="006A41F5" w:rsidRPr="006A41F5">
        <w:rPr>
          <w:rFonts w:asciiTheme="majorBidi" w:hAnsiTheme="majorBidi" w:cstheme="majorBidi"/>
          <w:kern w:val="36"/>
        </w:rPr>
        <w:t>did not show significant</w:t>
      </w:r>
      <w:r w:rsidRPr="009E19DD">
        <w:rPr>
          <w:rFonts w:asciiTheme="majorBidi" w:hAnsiTheme="majorBidi" w:cstheme="majorBidi"/>
          <w:kern w:val="36"/>
        </w:rPr>
        <w:t xml:space="preserve"> changes in MCV (Fl),</w:t>
      </w:r>
      <w:r w:rsidR="00CC09F3" w:rsidRPr="00CC09F3">
        <w:rPr>
          <w:rFonts w:asciiTheme="majorBidi" w:hAnsiTheme="majorBidi" w:cstheme="majorBidi"/>
          <w:kern w:val="36"/>
        </w:rPr>
        <w:t xml:space="preserve"> </w:t>
      </w:r>
      <w:r w:rsidR="00CC09F3" w:rsidRPr="009E19DD">
        <w:rPr>
          <w:rFonts w:asciiTheme="majorBidi" w:hAnsiTheme="majorBidi" w:cstheme="majorBidi"/>
          <w:kern w:val="36"/>
        </w:rPr>
        <w:t>MCHC (%)</w:t>
      </w:r>
      <w:r w:rsidR="00CC09F3">
        <w:rPr>
          <w:rFonts w:asciiTheme="majorBidi" w:hAnsiTheme="majorBidi" w:cstheme="majorBidi"/>
          <w:kern w:val="36"/>
        </w:rPr>
        <w:t>,</w:t>
      </w:r>
      <w:r w:rsidR="00CC09F3" w:rsidRPr="009E19DD">
        <w:rPr>
          <w:rFonts w:asciiTheme="majorBidi" w:hAnsiTheme="majorBidi" w:cstheme="majorBidi"/>
          <w:kern w:val="36"/>
        </w:rPr>
        <w:t xml:space="preserve"> </w:t>
      </w:r>
      <w:r w:rsidR="00CC09F3">
        <w:rPr>
          <w:rFonts w:asciiTheme="majorBidi" w:hAnsiTheme="majorBidi" w:cstheme="majorBidi"/>
          <w:kern w:val="36"/>
        </w:rPr>
        <w:t>and</w:t>
      </w:r>
      <w:r w:rsidRPr="009E19DD">
        <w:rPr>
          <w:rFonts w:asciiTheme="majorBidi" w:hAnsiTheme="majorBidi" w:cstheme="majorBidi"/>
          <w:kern w:val="36"/>
          <w:rtl/>
        </w:rPr>
        <w:t xml:space="preserve"> </w:t>
      </w:r>
      <w:r w:rsidRPr="009E19DD">
        <w:rPr>
          <w:rFonts w:asciiTheme="majorBidi" w:hAnsiTheme="majorBidi" w:cstheme="majorBidi"/>
          <w:kern w:val="36"/>
        </w:rPr>
        <w:t xml:space="preserve">MCH (pg), and in a sequential matter </w:t>
      </w:r>
      <w:r w:rsidR="00CC317D" w:rsidRPr="00CC317D">
        <w:rPr>
          <w:rFonts w:asciiTheme="majorBidi" w:hAnsiTheme="majorBidi" w:cstheme="majorBidi"/>
          <w:kern w:val="36"/>
        </w:rPr>
        <w:t>upon injecting rats with DMH 40 mg/kg in 1mM EDTA, compared to control</w:t>
      </w:r>
      <w:r w:rsidR="00CC317D">
        <w:rPr>
          <w:rFonts w:asciiTheme="majorBidi" w:hAnsiTheme="majorBidi" w:cstheme="majorBidi"/>
          <w:kern w:val="36"/>
        </w:rPr>
        <w:t>.</w:t>
      </w:r>
      <w:r w:rsidR="00CC317D" w:rsidRPr="00CC317D">
        <w:rPr>
          <w:rFonts w:asciiTheme="majorBidi" w:hAnsiTheme="majorBidi" w:cstheme="majorBidi"/>
          <w:kern w:val="36"/>
        </w:rPr>
        <w:t xml:space="preserve"> </w:t>
      </w:r>
      <w:r w:rsidRPr="009E19DD">
        <w:rPr>
          <w:rFonts w:asciiTheme="majorBidi" w:hAnsiTheme="majorBidi" w:cstheme="majorBidi"/>
        </w:rPr>
        <w:t xml:space="preserve">Administration of </w:t>
      </w:r>
      <w:r w:rsidRPr="009E19DD">
        <w:rPr>
          <w:rFonts w:asciiTheme="majorBidi" w:hAnsiTheme="majorBidi" w:cstheme="majorBidi"/>
          <w:i/>
          <w:iCs/>
        </w:rPr>
        <w:t xml:space="preserve">VRE </w:t>
      </w:r>
      <w:r w:rsidRPr="009E19DD">
        <w:rPr>
          <w:rFonts w:asciiTheme="majorBidi" w:hAnsiTheme="majorBidi" w:cstheme="majorBidi"/>
        </w:rPr>
        <w:t xml:space="preserve">along with DMH to rats revealed </w:t>
      </w:r>
      <w:r w:rsidR="00CC317D">
        <w:rPr>
          <w:rFonts w:asciiTheme="majorBidi" w:hAnsiTheme="majorBidi" w:cstheme="majorBidi"/>
        </w:rPr>
        <w:t>no</w:t>
      </w:r>
      <w:r w:rsidRPr="009E19DD">
        <w:rPr>
          <w:rFonts w:asciiTheme="majorBidi" w:hAnsiTheme="majorBidi" w:cstheme="majorBidi"/>
        </w:rPr>
        <w:t xml:space="preserve"> significant changes in </w:t>
      </w:r>
      <w:r w:rsidRPr="009E19DD">
        <w:rPr>
          <w:rFonts w:asciiTheme="majorBidi" w:hAnsiTheme="majorBidi" w:cstheme="majorBidi"/>
          <w:kern w:val="36"/>
        </w:rPr>
        <w:t>MCV (Fl),</w:t>
      </w:r>
      <w:r w:rsidRPr="009E19DD">
        <w:rPr>
          <w:rFonts w:asciiTheme="majorBidi" w:hAnsiTheme="majorBidi" w:cstheme="majorBidi"/>
          <w:kern w:val="36"/>
          <w:rtl/>
        </w:rPr>
        <w:t xml:space="preserve"> </w:t>
      </w:r>
      <w:r w:rsidRPr="009E19DD">
        <w:rPr>
          <w:rFonts w:asciiTheme="majorBidi" w:hAnsiTheme="majorBidi" w:cstheme="majorBidi"/>
          <w:kern w:val="36"/>
        </w:rPr>
        <w:t xml:space="preserve">MCHC (%) </w:t>
      </w:r>
      <w:r w:rsidR="00CC09F3" w:rsidRPr="009E19DD">
        <w:rPr>
          <w:rFonts w:asciiTheme="majorBidi" w:hAnsiTheme="majorBidi" w:cstheme="majorBidi"/>
          <w:kern w:val="36"/>
        </w:rPr>
        <w:t xml:space="preserve">MCH (pg), </w:t>
      </w:r>
      <w:r w:rsidRPr="009E19DD">
        <w:rPr>
          <w:rFonts w:asciiTheme="majorBidi" w:hAnsiTheme="majorBidi" w:cstheme="majorBidi"/>
          <w:kern w:val="36"/>
        </w:rPr>
        <w:t>sequentially</w:t>
      </w:r>
      <w:r w:rsidRPr="009E19DD">
        <w:rPr>
          <w:rFonts w:asciiTheme="majorBidi" w:hAnsiTheme="majorBidi" w:cstheme="majorBidi"/>
        </w:rPr>
        <w:t xml:space="preserve"> </w:t>
      </w:r>
      <w:r w:rsidR="00647026" w:rsidRPr="00647026">
        <w:rPr>
          <w:rFonts w:asciiTheme="majorBidi" w:hAnsiTheme="majorBidi" w:cstheme="majorBidi"/>
        </w:rPr>
        <w:t xml:space="preserve">compared </w:t>
      </w:r>
      <w:r w:rsidR="008A6D40">
        <w:rPr>
          <w:rFonts w:asciiTheme="majorBidi" w:hAnsiTheme="majorBidi" w:cstheme="majorBidi"/>
        </w:rPr>
        <w:t xml:space="preserve">with </w:t>
      </w:r>
      <w:r w:rsidR="00A31677">
        <w:rPr>
          <w:rFonts w:asciiTheme="majorBidi" w:hAnsiTheme="majorBidi" w:cstheme="majorBidi"/>
        </w:rPr>
        <w:t xml:space="preserve">those </w:t>
      </w:r>
      <w:r w:rsidR="008A6D40">
        <w:rPr>
          <w:rFonts w:asciiTheme="majorBidi" w:hAnsiTheme="majorBidi" w:cstheme="majorBidi"/>
        </w:rPr>
        <w:t>of the</w:t>
      </w:r>
      <w:r w:rsidR="00647026" w:rsidRPr="00647026">
        <w:rPr>
          <w:rFonts w:asciiTheme="majorBidi" w:hAnsiTheme="majorBidi" w:cstheme="majorBidi"/>
        </w:rPr>
        <w:t xml:space="preserve"> positive control samples. </w:t>
      </w:r>
    </w:p>
    <w:p w14:paraId="41C7BC15" w14:textId="233660B5" w:rsidR="003D42CC" w:rsidRDefault="00F167B6" w:rsidP="003B735A">
      <w:pPr>
        <w:jc w:val="both"/>
        <w:rPr>
          <w:rFonts w:asciiTheme="majorBidi" w:hAnsiTheme="majorBidi" w:cstheme="majorBidi"/>
        </w:rPr>
      </w:pPr>
      <w:r w:rsidRPr="009E19DD">
        <w:rPr>
          <w:rFonts w:asciiTheme="majorBidi" w:hAnsiTheme="majorBidi" w:cstheme="majorBidi"/>
        </w:rPr>
        <w:t xml:space="preserve">The potential% produced by </w:t>
      </w:r>
      <w:r w:rsidRPr="009E19DD">
        <w:rPr>
          <w:rFonts w:asciiTheme="majorBidi" w:hAnsiTheme="majorBidi" w:cstheme="majorBidi"/>
          <w:i/>
          <w:iCs/>
        </w:rPr>
        <w:t xml:space="preserve">VRE </w:t>
      </w:r>
      <w:r w:rsidRPr="009E19DD">
        <w:rPr>
          <w:rFonts w:asciiTheme="majorBidi" w:hAnsiTheme="majorBidi" w:cstheme="majorBidi"/>
        </w:rPr>
        <w:t xml:space="preserve">was 100% after </w:t>
      </w:r>
    </w:p>
    <w:p w14:paraId="5ADC7632" w14:textId="1B7699D8" w:rsidR="00F167B6" w:rsidRDefault="00F167B6" w:rsidP="00647026">
      <w:pPr>
        <w:jc w:val="both"/>
        <w:rPr>
          <w:rFonts w:asciiTheme="majorBidi" w:hAnsiTheme="majorBidi" w:cstheme="majorBidi"/>
        </w:rPr>
      </w:pPr>
      <w:r w:rsidRPr="009E19DD">
        <w:rPr>
          <w:rFonts w:asciiTheme="majorBidi" w:hAnsiTheme="majorBidi" w:cstheme="majorBidi"/>
        </w:rPr>
        <w:t xml:space="preserve">small dose at three parameters were consistent with the standard value and 102, 100, and 100% </w:t>
      </w:r>
      <w:r w:rsidRPr="00647026">
        <w:rPr>
          <w:rFonts w:asciiTheme="majorBidi" w:hAnsiTheme="majorBidi" w:cstheme="majorBidi"/>
        </w:rPr>
        <w:t xml:space="preserve">respectively </w:t>
      </w:r>
      <w:r w:rsidR="00647026" w:rsidRPr="00647026">
        <w:rPr>
          <w:rFonts w:asciiTheme="majorBidi" w:hAnsiTheme="majorBidi" w:cstheme="majorBidi"/>
        </w:rPr>
        <w:t>after large dose as when standardized against 5- FU.</w:t>
      </w:r>
    </w:p>
    <w:p w14:paraId="516E0A22" w14:textId="77777777" w:rsidR="00647026" w:rsidRPr="00647026" w:rsidRDefault="00647026" w:rsidP="00647026">
      <w:pPr>
        <w:jc w:val="both"/>
        <w:rPr>
          <w:rFonts w:asciiTheme="majorBidi" w:hAnsiTheme="majorBidi" w:cstheme="majorBidi"/>
        </w:rPr>
      </w:pPr>
    </w:p>
    <w:p w14:paraId="56AF3F38" w14:textId="77777777" w:rsidR="00F167B6" w:rsidRPr="009E19DD" w:rsidRDefault="00F167B6" w:rsidP="003B735A">
      <w:pPr>
        <w:jc w:val="both"/>
        <w:rPr>
          <w:rFonts w:asciiTheme="majorBidi" w:hAnsiTheme="majorBidi" w:cstheme="majorBidi"/>
          <w:b/>
          <w:bCs/>
        </w:rPr>
      </w:pPr>
      <w:r w:rsidRPr="009E19DD">
        <w:rPr>
          <w:rFonts w:asciiTheme="majorBidi" w:hAnsiTheme="majorBidi" w:cstheme="majorBidi"/>
          <w:b/>
          <w:bCs/>
        </w:rPr>
        <w:t xml:space="preserve">Leukocytic analysis: </w:t>
      </w:r>
    </w:p>
    <w:p w14:paraId="1EF5BAE9" w14:textId="0F6310F6" w:rsidR="00CC317D" w:rsidRDefault="00F167B6" w:rsidP="00CC317D">
      <w:pPr>
        <w:ind w:firstLine="720"/>
        <w:jc w:val="both"/>
        <w:rPr>
          <w:rFonts w:asciiTheme="majorBidi" w:hAnsiTheme="majorBidi" w:cstheme="majorBidi"/>
        </w:rPr>
      </w:pPr>
      <w:r w:rsidRPr="009E19DD">
        <w:rPr>
          <w:rFonts w:asciiTheme="majorBidi" w:hAnsiTheme="majorBidi" w:cstheme="majorBidi"/>
          <w:kern w:val="36"/>
        </w:rPr>
        <w:t xml:space="preserve">As shown in </w:t>
      </w:r>
      <w:r w:rsidRPr="00934770">
        <w:rPr>
          <w:rFonts w:asciiTheme="majorBidi" w:hAnsiTheme="majorBidi" w:cstheme="majorBidi"/>
          <w:color w:val="000000" w:themeColor="text1"/>
          <w:kern w:val="36"/>
        </w:rPr>
        <w:t xml:space="preserve">table </w:t>
      </w:r>
      <w:r w:rsidR="00320726">
        <w:rPr>
          <w:rFonts w:asciiTheme="majorBidi" w:hAnsiTheme="majorBidi" w:cstheme="majorBidi" w:hint="cs"/>
          <w:color w:val="000000" w:themeColor="text1"/>
          <w:kern w:val="36"/>
          <w:rtl/>
        </w:rPr>
        <w:t>2</w:t>
      </w:r>
      <w:r w:rsidRPr="00934770">
        <w:rPr>
          <w:rFonts w:asciiTheme="majorBidi" w:hAnsiTheme="majorBidi" w:cstheme="majorBidi"/>
          <w:color w:val="000000" w:themeColor="text1"/>
          <w:kern w:val="36"/>
        </w:rPr>
        <w:t xml:space="preserve">, figure </w:t>
      </w:r>
      <w:r w:rsidR="003F79A4">
        <w:rPr>
          <w:rFonts w:asciiTheme="majorBidi" w:hAnsiTheme="majorBidi" w:cstheme="majorBidi"/>
          <w:color w:val="000000" w:themeColor="text1"/>
          <w:kern w:val="36"/>
        </w:rPr>
        <w:t>5</w:t>
      </w:r>
      <w:r w:rsidR="008A6D40">
        <w:rPr>
          <w:rFonts w:asciiTheme="majorBidi" w:hAnsiTheme="majorBidi" w:cstheme="majorBidi"/>
          <w:color w:val="000000" w:themeColor="text1"/>
          <w:kern w:val="36"/>
        </w:rPr>
        <w:t>;</w:t>
      </w:r>
      <w:r w:rsidRPr="009E19DD">
        <w:rPr>
          <w:rFonts w:asciiTheme="majorBidi" w:hAnsiTheme="majorBidi" w:cstheme="majorBidi"/>
          <w:color w:val="000000" w:themeColor="text1"/>
          <w:kern w:val="36"/>
        </w:rPr>
        <w:t xml:space="preserve"> </w:t>
      </w:r>
      <w:r w:rsidR="00A31677">
        <w:rPr>
          <w:rFonts w:asciiTheme="majorBidi" w:hAnsiTheme="majorBidi" w:cstheme="majorBidi"/>
          <w:color w:val="000000" w:themeColor="text1"/>
          <w:kern w:val="36"/>
        </w:rPr>
        <w:t xml:space="preserve">the </w:t>
      </w:r>
      <w:r w:rsidRPr="009E19DD">
        <w:rPr>
          <w:rFonts w:asciiTheme="majorBidi" w:hAnsiTheme="majorBidi" w:cstheme="majorBidi"/>
          <w:kern w:val="36"/>
        </w:rPr>
        <w:t>blood samples in control group have shown normal values, while those of positive control group</w:t>
      </w:r>
      <w:r w:rsidR="005E5656" w:rsidRPr="005E5656">
        <w:rPr>
          <w:rFonts w:asciiTheme="majorBidi" w:hAnsiTheme="majorBidi" w:cstheme="majorBidi"/>
          <w:kern w:val="36"/>
        </w:rPr>
        <w:t xml:space="preserve"> </w:t>
      </w:r>
      <w:r w:rsidR="005E5656">
        <w:rPr>
          <w:rFonts w:asciiTheme="majorBidi" w:hAnsiTheme="majorBidi" w:cstheme="majorBidi"/>
          <w:kern w:val="36"/>
        </w:rPr>
        <w:t>(G</w:t>
      </w:r>
      <w:r w:rsidR="005E5656" w:rsidRPr="009E19DD">
        <w:rPr>
          <w:rFonts w:asciiTheme="majorBidi" w:hAnsiTheme="majorBidi" w:cstheme="majorBidi"/>
          <w:kern w:val="36"/>
        </w:rPr>
        <w:t>roup</w:t>
      </w:r>
      <w:r w:rsidR="005E5656">
        <w:rPr>
          <w:rFonts w:asciiTheme="majorBidi" w:hAnsiTheme="majorBidi" w:cstheme="majorBidi"/>
          <w:kern w:val="36"/>
        </w:rPr>
        <w:t xml:space="preserve"> </w:t>
      </w:r>
      <w:r w:rsidR="005E5656" w:rsidRPr="009E19DD">
        <w:rPr>
          <w:rFonts w:asciiTheme="majorBidi" w:hAnsiTheme="majorBidi" w:cstheme="majorBidi"/>
          <w:kern w:val="36"/>
        </w:rPr>
        <w:t>2)</w:t>
      </w:r>
      <w:r w:rsidRPr="009E19DD">
        <w:rPr>
          <w:rFonts w:asciiTheme="majorBidi" w:hAnsiTheme="majorBidi" w:cstheme="majorBidi"/>
          <w:kern w:val="36"/>
        </w:rPr>
        <w:t xml:space="preserve">, </w:t>
      </w:r>
      <w:r w:rsidR="00A31677">
        <w:rPr>
          <w:rFonts w:asciiTheme="majorBidi" w:hAnsiTheme="majorBidi" w:cstheme="majorBidi"/>
          <w:kern w:val="36"/>
        </w:rPr>
        <w:t xml:space="preserve">did not </w:t>
      </w:r>
      <w:r w:rsidRPr="009E19DD">
        <w:rPr>
          <w:rFonts w:asciiTheme="majorBidi" w:hAnsiTheme="majorBidi" w:cstheme="majorBidi"/>
          <w:kern w:val="36"/>
        </w:rPr>
        <w:t>reveal</w:t>
      </w:r>
      <w:r w:rsidR="00A31677">
        <w:rPr>
          <w:rFonts w:asciiTheme="majorBidi" w:hAnsiTheme="majorBidi" w:cstheme="majorBidi"/>
          <w:kern w:val="36"/>
        </w:rPr>
        <w:t xml:space="preserve"> any </w:t>
      </w:r>
      <w:r w:rsidRPr="009E19DD">
        <w:rPr>
          <w:rFonts w:asciiTheme="majorBidi" w:hAnsiTheme="majorBidi" w:cstheme="majorBidi"/>
          <w:kern w:val="36"/>
        </w:rPr>
        <w:t xml:space="preserve">significant changes in total leukocytic count </w:t>
      </w:r>
      <w:r w:rsidR="00CC317D" w:rsidRPr="00CC317D">
        <w:rPr>
          <w:rFonts w:asciiTheme="majorBidi" w:hAnsiTheme="majorBidi" w:cstheme="majorBidi"/>
          <w:kern w:val="36"/>
        </w:rPr>
        <w:t>upon injecting rats with DMH 40 mg/kg in 1mM EDTA, compared to control</w:t>
      </w:r>
      <w:r w:rsidRPr="009E19DD">
        <w:rPr>
          <w:rFonts w:asciiTheme="majorBidi" w:hAnsiTheme="majorBidi" w:cstheme="majorBidi"/>
        </w:rPr>
        <w:t xml:space="preserve">. Administration of </w:t>
      </w:r>
      <w:r w:rsidRPr="009E19DD">
        <w:rPr>
          <w:rFonts w:asciiTheme="majorBidi" w:hAnsiTheme="majorBidi" w:cstheme="majorBidi"/>
          <w:i/>
          <w:iCs/>
        </w:rPr>
        <w:t xml:space="preserve">VRE </w:t>
      </w:r>
      <w:r w:rsidRPr="009E19DD">
        <w:rPr>
          <w:rFonts w:asciiTheme="majorBidi" w:hAnsiTheme="majorBidi" w:cstheme="majorBidi"/>
        </w:rPr>
        <w:t xml:space="preserve">along with DMH to rats revealed </w:t>
      </w:r>
      <w:r w:rsidR="00CC317D">
        <w:rPr>
          <w:rFonts w:asciiTheme="majorBidi" w:hAnsiTheme="majorBidi" w:cstheme="majorBidi"/>
        </w:rPr>
        <w:t>no</w:t>
      </w:r>
      <w:r w:rsidRPr="009E19DD">
        <w:rPr>
          <w:rFonts w:asciiTheme="majorBidi" w:hAnsiTheme="majorBidi" w:cstheme="majorBidi"/>
        </w:rPr>
        <w:t xml:space="preserve"> significant changes in </w:t>
      </w:r>
      <w:r w:rsidRPr="009E19DD">
        <w:rPr>
          <w:rFonts w:asciiTheme="majorBidi" w:hAnsiTheme="majorBidi" w:cstheme="majorBidi"/>
          <w:kern w:val="36"/>
        </w:rPr>
        <w:t>total leukocytic count</w:t>
      </w:r>
      <w:r w:rsidRPr="009E19DD">
        <w:rPr>
          <w:rFonts w:asciiTheme="majorBidi" w:hAnsiTheme="majorBidi" w:cstheme="majorBidi"/>
        </w:rPr>
        <w:t xml:space="preserve"> if compared with that of the positive control group. The potential% produced by </w:t>
      </w:r>
      <w:r w:rsidRPr="009E19DD">
        <w:rPr>
          <w:rFonts w:asciiTheme="majorBidi" w:hAnsiTheme="majorBidi" w:cstheme="majorBidi"/>
          <w:i/>
          <w:iCs/>
        </w:rPr>
        <w:t xml:space="preserve">VRE </w:t>
      </w:r>
      <w:r w:rsidRPr="009E19DD">
        <w:rPr>
          <w:rFonts w:asciiTheme="majorBidi" w:hAnsiTheme="majorBidi" w:cstheme="majorBidi"/>
        </w:rPr>
        <w:t xml:space="preserve">was 100% after small dose and 85% after large dose </w:t>
      </w:r>
      <w:r w:rsidR="00CC317D" w:rsidRPr="00CC317D">
        <w:rPr>
          <w:rFonts w:asciiTheme="majorBidi" w:hAnsiTheme="majorBidi" w:cstheme="majorBidi"/>
        </w:rPr>
        <w:t>lower than that standardized against 5-FU.</w:t>
      </w:r>
    </w:p>
    <w:p w14:paraId="5A2BF34A" w14:textId="7E87F740" w:rsidR="00F167B6" w:rsidRPr="00F167B6" w:rsidRDefault="00F167B6" w:rsidP="00CC317D">
      <w:pPr>
        <w:ind w:firstLine="720"/>
        <w:jc w:val="both"/>
        <w:rPr>
          <w:rFonts w:asciiTheme="majorBidi" w:hAnsiTheme="majorBidi" w:cstheme="majorBidi"/>
        </w:rPr>
      </w:pPr>
      <w:r w:rsidRPr="009E19DD">
        <w:rPr>
          <w:rFonts w:asciiTheme="majorBidi" w:hAnsiTheme="majorBidi" w:cstheme="majorBidi"/>
          <w:kern w:val="36"/>
        </w:rPr>
        <w:t xml:space="preserve">As shown in </w:t>
      </w:r>
      <w:r w:rsidRPr="00934770">
        <w:rPr>
          <w:rFonts w:asciiTheme="majorBidi" w:hAnsiTheme="majorBidi" w:cstheme="majorBidi"/>
          <w:color w:val="000000" w:themeColor="text1"/>
          <w:kern w:val="36"/>
        </w:rPr>
        <w:t xml:space="preserve">table </w:t>
      </w:r>
      <w:r w:rsidR="00320726">
        <w:rPr>
          <w:rFonts w:asciiTheme="majorBidi" w:hAnsiTheme="majorBidi" w:cstheme="majorBidi" w:hint="cs"/>
          <w:color w:val="000000" w:themeColor="text1"/>
          <w:kern w:val="36"/>
          <w:rtl/>
        </w:rPr>
        <w:t>2</w:t>
      </w:r>
      <w:r w:rsidRPr="00934770">
        <w:rPr>
          <w:rFonts w:asciiTheme="majorBidi" w:hAnsiTheme="majorBidi" w:cstheme="majorBidi"/>
          <w:color w:val="000000" w:themeColor="text1"/>
          <w:kern w:val="36"/>
        </w:rPr>
        <w:t xml:space="preserve">, figure </w:t>
      </w:r>
      <w:r w:rsidR="003F79A4">
        <w:rPr>
          <w:rFonts w:asciiTheme="majorBidi" w:hAnsiTheme="majorBidi" w:cstheme="majorBidi"/>
          <w:color w:val="000000" w:themeColor="text1"/>
          <w:kern w:val="36"/>
        </w:rPr>
        <w:t>5</w:t>
      </w:r>
      <w:r w:rsidR="00CC317D">
        <w:rPr>
          <w:rFonts w:asciiTheme="majorBidi" w:hAnsiTheme="majorBidi" w:cstheme="majorBidi"/>
          <w:color w:val="000000" w:themeColor="text1"/>
          <w:kern w:val="36"/>
        </w:rPr>
        <w:t>;</w:t>
      </w:r>
      <w:r w:rsidRPr="009E19DD">
        <w:rPr>
          <w:rFonts w:asciiTheme="majorBidi" w:hAnsiTheme="majorBidi" w:cstheme="majorBidi"/>
          <w:color w:val="000000" w:themeColor="text1"/>
          <w:kern w:val="36"/>
        </w:rPr>
        <w:t xml:space="preserve"> </w:t>
      </w:r>
      <w:r w:rsidR="00A31677">
        <w:rPr>
          <w:rFonts w:asciiTheme="majorBidi" w:hAnsiTheme="majorBidi" w:cstheme="majorBidi"/>
          <w:color w:val="000000" w:themeColor="text1"/>
          <w:kern w:val="36"/>
        </w:rPr>
        <w:t xml:space="preserve">the </w:t>
      </w:r>
      <w:r w:rsidRPr="009E19DD">
        <w:rPr>
          <w:rFonts w:asciiTheme="majorBidi" w:hAnsiTheme="majorBidi" w:cstheme="majorBidi"/>
          <w:kern w:val="36"/>
        </w:rPr>
        <w:t>blood samples in control group have shown normal values, while those of positive control group</w:t>
      </w:r>
      <w:r w:rsidR="00A31677" w:rsidRPr="00A31677">
        <w:t xml:space="preserve"> </w:t>
      </w:r>
      <w:r w:rsidR="00A31677">
        <w:t>(</w:t>
      </w:r>
      <w:r w:rsidR="00A31677" w:rsidRPr="00A31677">
        <w:rPr>
          <w:rFonts w:asciiTheme="majorBidi" w:hAnsiTheme="majorBidi" w:cstheme="majorBidi"/>
          <w:kern w:val="36"/>
        </w:rPr>
        <w:t>group 2)</w:t>
      </w:r>
      <w:r w:rsidRPr="009E19DD">
        <w:rPr>
          <w:rFonts w:asciiTheme="majorBidi" w:hAnsiTheme="majorBidi" w:cstheme="majorBidi"/>
          <w:kern w:val="36"/>
        </w:rPr>
        <w:t xml:space="preserve">, </w:t>
      </w:r>
      <w:r w:rsidR="00A31677">
        <w:rPr>
          <w:rFonts w:asciiTheme="majorBidi" w:hAnsiTheme="majorBidi" w:cstheme="majorBidi"/>
          <w:kern w:val="36"/>
        </w:rPr>
        <w:t>did</w:t>
      </w:r>
      <w:r w:rsidRPr="009E19DD">
        <w:rPr>
          <w:rFonts w:asciiTheme="majorBidi" w:hAnsiTheme="majorBidi" w:cstheme="majorBidi"/>
          <w:kern w:val="36"/>
        </w:rPr>
        <w:t xml:space="preserve"> </w:t>
      </w:r>
      <w:r w:rsidR="00A31677">
        <w:rPr>
          <w:rFonts w:asciiTheme="majorBidi" w:hAnsiTheme="majorBidi" w:cstheme="majorBidi"/>
          <w:kern w:val="36"/>
        </w:rPr>
        <w:t xml:space="preserve">not </w:t>
      </w:r>
      <w:r w:rsidRPr="009E19DD">
        <w:rPr>
          <w:rFonts w:asciiTheme="majorBidi" w:hAnsiTheme="majorBidi" w:cstheme="majorBidi"/>
          <w:kern w:val="36"/>
        </w:rPr>
        <w:t xml:space="preserve">reveal any significant changes in Neutrophils </w:t>
      </w:r>
      <w:bookmarkStart w:id="3" w:name="_Hlk217365349"/>
      <w:r w:rsidRPr="009E19DD">
        <w:rPr>
          <w:rFonts w:asciiTheme="majorBidi" w:hAnsiTheme="majorBidi" w:cstheme="majorBidi"/>
          <w:kern w:val="36"/>
        </w:rPr>
        <w:t>(10</w:t>
      </w:r>
      <w:r w:rsidRPr="009E19DD">
        <w:rPr>
          <w:rFonts w:asciiTheme="majorBidi" w:hAnsiTheme="majorBidi" w:cstheme="majorBidi"/>
          <w:kern w:val="36"/>
          <w:vertAlign w:val="superscript"/>
        </w:rPr>
        <w:t>9</w:t>
      </w:r>
      <w:r w:rsidRPr="009E19DD">
        <w:rPr>
          <w:rFonts w:asciiTheme="majorBidi" w:hAnsiTheme="majorBidi" w:cstheme="majorBidi"/>
          <w:kern w:val="36"/>
          <w:rtl/>
          <w:lang w:bidi="ar-EG"/>
        </w:rPr>
        <w:t>/</w:t>
      </w:r>
      <w:r w:rsidRPr="009E19DD">
        <w:rPr>
          <w:rFonts w:asciiTheme="majorBidi" w:hAnsiTheme="majorBidi" w:cstheme="majorBidi"/>
          <w:kern w:val="36"/>
          <w:lang w:bidi="ar-EG"/>
        </w:rPr>
        <w:t>L)</w:t>
      </w:r>
      <w:bookmarkEnd w:id="3"/>
      <w:r w:rsidRPr="009E19DD">
        <w:rPr>
          <w:rFonts w:asciiTheme="majorBidi" w:hAnsiTheme="majorBidi" w:cstheme="majorBidi"/>
          <w:kern w:val="36"/>
          <w:lang w:bidi="ar-EG"/>
        </w:rPr>
        <w:t xml:space="preserve">, Lymphocytes </w:t>
      </w:r>
      <w:r w:rsidRPr="009E19DD">
        <w:rPr>
          <w:rFonts w:asciiTheme="majorBidi" w:hAnsiTheme="majorBidi" w:cstheme="majorBidi"/>
          <w:kern w:val="36"/>
        </w:rPr>
        <w:t>(10</w:t>
      </w:r>
      <w:r w:rsidRPr="009E19DD">
        <w:rPr>
          <w:rFonts w:asciiTheme="majorBidi" w:hAnsiTheme="majorBidi" w:cstheme="majorBidi"/>
          <w:kern w:val="36"/>
          <w:vertAlign w:val="superscript"/>
        </w:rPr>
        <w:t>9</w:t>
      </w:r>
      <w:r w:rsidRPr="009E19DD">
        <w:rPr>
          <w:rFonts w:asciiTheme="majorBidi" w:hAnsiTheme="majorBidi" w:cstheme="majorBidi"/>
          <w:kern w:val="36"/>
          <w:rtl/>
          <w:lang w:bidi="ar-EG"/>
        </w:rPr>
        <w:t>/</w:t>
      </w:r>
      <w:r w:rsidRPr="009E19DD">
        <w:rPr>
          <w:rFonts w:asciiTheme="majorBidi" w:hAnsiTheme="majorBidi" w:cstheme="majorBidi"/>
          <w:kern w:val="36"/>
          <w:lang w:bidi="ar-EG"/>
        </w:rPr>
        <w:t xml:space="preserve">L), and Monocytes </w:t>
      </w:r>
      <w:r w:rsidRPr="009E19DD">
        <w:rPr>
          <w:rFonts w:asciiTheme="majorBidi" w:hAnsiTheme="majorBidi" w:cstheme="majorBidi"/>
          <w:kern w:val="36"/>
        </w:rPr>
        <w:t>(10</w:t>
      </w:r>
      <w:r w:rsidRPr="009E19DD">
        <w:rPr>
          <w:rFonts w:asciiTheme="majorBidi" w:hAnsiTheme="majorBidi" w:cstheme="majorBidi"/>
          <w:kern w:val="36"/>
          <w:vertAlign w:val="superscript"/>
        </w:rPr>
        <w:t>9</w:t>
      </w:r>
      <w:r w:rsidRPr="009E19DD">
        <w:rPr>
          <w:rFonts w:asciiTheme="majorBidi" w:hAnsiTheme="majorBidi" w:cstheme="majorBidi"/>
          <w:kern w:val="36"/>
          <w:rtl/>
          <w:lang w:bidi="ar-EG"/>
        </w:rPr>
        <w:t>/</w:t>
      </w:r>
      <w:r w:rsidRPr="009E19DD">
        <w:rPr>
          <w:rFonts w:asciiTheme="majorBidi" w:hAnsiTheme="majorBidi" w:cstheme="majorBidi"/>
          <w:kern w:val="36"/>
          <w:lang w:bidi="ar-EG"/>
        </w:rPr>
        <w:t>L)</w:t>
      </w:r>
      <w:r w:rsidRPr="009E19DD">
        <w:rPr>
          <w:rFonts w:asciiTheme="majorBidi" w:hAnsiTheme="majorBidi" w:cstheme="majorBidi"/>
          <w:kern w:val="36"/>
        </w:rPr>
        <w:t xml:space="preserve"> in a sequential matter </w:t>
      </w:r>
      <w:r w:rsidR="00A31677" w:rsidRPr="00A31677">
        <w:rPr>
          <w:rFonts w:asciiTheme="majorBidi" w:hAnsiTheme="majorBidi" w:cstheme="majorBidi"/>
          <w:kern w:val="36"/>
        </w:rPr>
        <w:t>upon injecting rats with DMH 40 mg/kg in 1mM EDTA</w:t>
      </w:r>
      <w:r w:rsidRPr="009E19DD">
        <w:rPr>
          <w:rFonts w:asciiTheme="majorBidi" w:hAnsiTheme="majorBidi" w:cstheme="majorBidi"/>
        </w:rPr>
        <w:t xml:space="preserve">, compared with those of control samples. Administration of </w:t>
      </w:r>
      <w:r w:rsidRPr="009E19DD">
        <w:rPr>
          <w:rFonts w:asciiTheme="majorBidi" w:hAnsiTheme="majorBidi" w:cstheme="majorBidi"/>
          <w:i/>
          <w:iCs/>
        </w:rPr>
        <w:t xml:space="preserve">VRE </w:t>
      </w:r>
      <w:r w:rsidRPr="009E19DD">
        <w:rPr>
          <w:rFonts w:asciiTheme="majorBidi" w:hAnsiTheme="majorBidi" w:cstheme="majorBidi"/>
        </w:rPr>
        <w:t xml:space="preserve">along with DMH to rats not revealed any significant changes in </w:t>
      </w:r>
      <w:r w:rsidRPr="009E19DD">
        <w:rPr>
          <w:rFonts w:asciiTheme="majorBidi" w:hAnsiTheme="majorBidi" w:cstheme="majorBidi"/>
          <w:kern w:val="36"/>
        </w:rPr>
        <w:t>Neutrophils (10</w:t>
      </w:r>
      <w:r w:rsidRPr="009E19DD">
        <w:rPr>
          <w:rFonts w:asciiTheme="majorBidi" w:hAnsiTheme="majorBidi" w:cstheme="majorBidi"/>
          <w:kern w:val="36"/>
          <w:vertAlign w:val="superscript"/>
        </w:rPr>
        <w:t>9</w:t>
      </w:r>
      <w:r w:rsidRPr="009E19DD">
        <w:rPr>
          <w:rFonts w:asciiTheme="majorBidi" w:hAnsiTheme="majorBidi" w:cstheme="majorBidi"/>
          <w:kern w:val="36"/>
          <w:rtl/>
          <w:lang w:bidi="ar-EG"/>
        </w:rPr>
        <w:t>/</w:t>
      </w:r>
      <w:r w:rsidRPr="009E19DD">
        <w:rPr>
          <w:rFonts w:asciiTheme="majorBidi" w:hAnsiTheme="majorBidi" w:cstheme="majorBidi"/>
          <w:kern w:val="36"/>
          <w:lang w:bidi="ar-EG"/>
        </w:rPr>
        <w:t xml:space="preserve">L), Lymphocytes </w:t>
      </w:r>
      <w:r w:rsidRPr="009E19DD">
        <w:rPr>
          <w:rFonts w:asciiTheme="majorBidi" w:hAnsiTheme="majorBidi" w:cstheme="majorBidi"/>
          <w:kern w:val="36"/>
        </w:rPr>
        <w:t>(10</w:t>
      </w:r>
      <w:r w:rsidRPr="009E19DD">
        <w:rPr>
          <w:rFonts w:asciiTheme="majorBidi" w:hAnsiTheme="majorBidi" w:cstheme="majorBidi"/>
          <w:kern w:val="36"/>
          <w:vertAlign w:val="superscript"/>
        </w:rPr>
        <w:t>9</w:t>
      </w:r>
      <w:r w:rsidRPr="009E19DD">
        <w:rPr>
          <w:rFonts w:asciiTheme="majorBidi" w:hAnsiTheme="majorBidi" w:cstheme="majorBidi"/>
          <w:kern w:val="36"/>
          <w:rtl/>
          <w:lang w:bidi="ar-EG"/>
        </w:rPr>
        <w:t>/</w:t>
      </w:r>
      <w:r w:rsidRPr="009E19DD">
        <w:rPr>
          <w:rFonts w:asciiTheme="majorBidi" w:hAnsiTheme="majorBidi" w:cstheme="majorBidi"/>
          <w:kern w:val="36"/>
          <w:lang w:bidi="ar-EG"/>
        </w:rPr>
        <w:t xml:space="preserve">L), and </w:t>
      </w:r>
      <w:r w:rsidRPr="009E19DD">
        <w:rPr>
          <w:rFonts w:asciiTheme="majorBidi" w:hAnsiTheme="majorBidi" w:cstheme="majorBidi"/>
          <w:kern w:val="36"/>
          <w:lang w:bidi="ar-EG"/>
        </w:rPr>
        <w:t xml:space="preserve">Monocytes </w:t>
      </w:r>
      <w:r w:rsidRPr="009E19DD">
        <w:rPr>
          <w:rFonts w:asciiTheme="majorBidi" w:hAnsiTheme="majorBidi" w:cstheme="majorBidi"/>
          <w:kern w:val="36"/>
        </w:rPr>
        <w:t>(10</w:t>
      </w:r>
      <w:r w:rsidRPr="009E19DD">
        <w:rPr>
          <w:rFonts w:asciiTheme="majorBidi" w:hAnsiTheme="majorBidi" w:cstheme="majorBidi"/>
          <w:kern w:val="36"/>
          <w:vertAlign w:val="superscript"/>
        </w:rPr>
        <w:t>9</w:t>
      </w:r>
      <w:r w:rsidRPr="009E19DD">
        <w:rPr>
          <w:rFonts w:asciiTheme="majorBidi" w:hAnsiTheme="majorBidi" w:cstheme="majorBidi"/>
          <w:kern w:val="36"/>
          <w:rtl/>
          <w:lang w:bidi="ar-EG"/>
        </w:rPr>
        <w:t>/</w:t>
      </w:r>
      <w:r w:rsidRPr="009E19DD">
        <w:rPr>
          <w:rFonts w:asciiTheme="majorBidi" w:hAnsiTheme="majorBidi" w:cstheme="majorBidi"/>
          <w:kern w:val="36"/>
          <w:lang w:bidi="ar-EG"/>
        </w:rPr>
        <w:t>L)</w:t>
      </w:r>
      <w:r w:rsidRPr="009E19DD">
        <w:rPr>
          <w:rFonts w:asciiTheme="majorBidi" w:hAnsiTheme="majorBidi" w:cstheme="majorBidi"/>
          <w:kern w:val="36"/>
        </w:rPr>
        <w:t xml:space="preserve"> sequentially</w:t>
      </w:r>
      <w:r w:rsidRPr="009E19DD">
        <w:rPr>
          <w:rFonts w:asciiTheme="majorBidi" w:hAnsiTheme="majorBidi" w:cstheme="majorBidi"/>
        </w:rPr>
        <w:t xml:space="preserve"> if compared with that of the positive control group. The potential% produced by </w:t>
      </w:r>
      <w:r w:rsidRPr="009E19DD">
        <w:rPr>
          <w:rFonts w:asciiTheme="majorBidi" w:hAnsiTheme="majorBidi" w:cstheme="majorBidi"/>
          <w:i/>
          <w:iCs/>
        </w:rPr>
        <w:t xml:space="preserve">VRE </w:t>
      </w:r>
      <w:r w:rsidRPr="009E19DD">
        <w:rPr>
          <w:rFonts w:asciiTheme="majorBidi" w:hAnsiTheme="majorBidi" w:cstheme="majorBidi"/>
        </w:rPr>
        <w:t>was 91, 103.6 and 131 % in order</w:t>
      </w:r>
      <w:r w:rsidR="00A31677">
        <w:rPr>
          <w:rFonts w:asciiTheme="majorBidi" w:hAnsiTheme="majorBidi" w:cstheme="majorBidi"/>
        </w:rPr>
        <w:t xml:space="preserve"> </w:t>
      </w:r>
      <w:r w:rsidRPr="009E19DD">
        <w:rPr>
          <w:rFonts w:asciiTheme="majorBidi" w:hAnsiTheme="majorBidi" w:cstheme="majorBidi"/>
        </w:rPr>
        <w:t xml:space="preserve">after small dose at three parameters and 93, 86, and 123% respectively after large dose deviated from standard values 5- FU. </w:t>
      </w:r>
    </w:p>
    <w:p w14:paraId="63213BFE" w14:textId="77777777" w:rsidR="00F167B6" w:rsidRDefault="00F167B6" w:rsidP="003B735A">
      <w:pPr>
        <w:ind w:hanging="142"/>
        <w:jc w:val="both"/>
        <w:rPr>
          <w:rFonts w:asciiTheme="majorBidi" w:hAnsiTheme="majorBidi" w:cstheme="majorBidi"/>
          <w:b/>
          <w:bCs/>
          <w:noProof/>
        </w:rPr>
      </w:pPr>
    </w:p>
    <w:p w14:paraId="0D075E83" w14:textId="77777777" w:rsidR="00F167B6" w:rsidRPr="009E19DD" w:rsidRDefault="00F167B6" w:rsidP="003B735A">
      <w:pPr>
        <w:jc w:val="both"/>
        <w:rPr>
          <w:rFonts w:asciiTheme="majorBidi" w:hAnsiTheme="majorBidi" w:cstheme="majorBidi"/>
          <w:b/>
          <w:bCs/>
          <w:noProof/>
        </w:rPr>
      </w:pPr>
      <w:r w:rsidRPr="009E19DD">
        <w:rPr>
          <w:rFonts w:asciiTheme="majorBidi" w:hAnsiTheme="majorBidi" w:cstheme="majorBidi"/>
          <w:b/>
          <w:bCs/>
          <w:noProof/>
        </w:rPr>
        <w:t>Platelet analysis</w:t>
      </w:r>
    </w:p>
    <w:p w14:paraId="6EC175E5" w14:textId="6CFA00C7" w:rsidR="00F167B6" w:rsidRPr="009E19DD" w:rsidRDefault="00F167B6" w:rsidP="003B735A">
      <w:pPr>
        <w:ind w:firstLine="720"/>
        <w:jc w:val="both"/>
        <w:rPr>
          <w:rFonts w:asciiTheme="majorBidi" w:hAnsiTheme="majorBidi" w:cstheme="majorBidi"/>
        </w:rPr>
      </w:pPr>
      <w:r w:rsidRPr="009E19DD">
        <w:rPr>
          <w:rFonts w:asciiTheme="majorBidi" w:hAnsiTheme="majorBidi" w:cstheme="majorBidi"/>
          <w:kern w:val="36"/>
        </w:rPr>
        <w:t xml:space="preserve">As shown in </w:t>
      </w:r>
      <w:r w:rsidRPr="00F178BD">
        <w:rPr>
          <w:rFonts w:asciiTheme="majorBidi" w:hAnsiTheme="majorBidi" w:cstheme="majorBidi"/>
          <w:color w:val="000000" w:themeColor="text1"/>
          <w:kern w:val="36"/>
        </w:rPr>
        <w:t xml:space="preserve">table </w:t>
      </w:r>
      <w:r w:rsidR="00320726">
        <w:rPr>
          <w:rFonts w:asciiTheme="majorBidi" w:hAnsiTheme="majorBidi" w:cstheme="majorBidi"/>
          <w:color w:val="000000" w:themeColor="text1"/>
          <w:kern w:val="36"/>
        </w:rPr>
        <w:t>3</w:t>
      </w:r>
      <w:r w:rsidRPr="00F178BD">
        <w:rPr>
          <w:rFonts w:asciiTheme="majorBidi" w:hAnsiTheme="majorBidi" w:cstheme="majorBidi"/>
          <w:color w:val="000000" w:themeColor="text1"/>
          <w:kern w:val="36"/>
        </w:rPr>
        <w:t xml:space="preserve">, figure </w:t>
      </w:r>
      <w:r w:rsidR="006F7C29">
        <w:rPr>
          <w:rFonts w:asciiTheme="majorBidi" w:hAnsiTheme="majorBidi" w:cstheme="majorBidi"/>
          <w:color w:val="000000" w:themeColor="text1"/>
          <w:kern w:val="36"/>
        </w:rPr>
        <w:t>6</w:t>
      </w:r>
      <w:r w:rsidRPr="00F178BD">
        <w:rPr>
          <w:rFonts w:asciiTheme="majorBidi" w:hAnsiTheme="majorBidi" w:cstheme="majorBidi"/>
          <w:color w:val="000000" w:themeColor="text1"/>
          <w:kern w:val="36"/>
        </w:rPr>
        <w:t>,</w:t>
      </w:r>
      <w:r w:rsidRPr="009E19DD">
        <w:rPr>
          <w:rFonts w:asciiTheme="majorBidi" w:hAnsiTheme="majorBidi" w:cstheme="majorBidi"/>
          <w:color w:val="000000" w:themeColor="text1"/>
          <w:kern w:val="36"/>
        </w:rPr>
        <w:t xml:space="preserve"> </w:t>
      </w:r>
      <w:r w:rsidR="00320726">
        <w:rPr>
          <w:rFonts w:asciiTheme="majorBidi" w:hAnsiTheme="majorBidi" w:cstheme="majorBidi"/>
          <w:color w:val="000000" w:themeColor="text1"/>
          <w:kern w:val="36"/>
          <w:lang w:val="en-US"/>
        </w:rPr>
        <w:t xml:space="preserve">the </w:t>
      </w:r>
      <w:r w:rsidRPr="009E19DD">
        <w:rPr>
          <w:rFonts w:asciiTheme="majorBidi" w:hAnsiTheme="majorBidi" w:cstheme="majorBidi"/>
          <w:kern w:val="36"/>
        </w:rPr>
        <w:t>blood samples in control group have shown normal values, while those of positive control group</w:t>
      </w:r>
      <w:r w:rsidR="00320726" w:rsidRPr="00320726">
        <w:rPr>
          <w:rFonts w:asciiTheme="majorBidi" w:hAnsiTheme="majorBidi" w:cstheme="majorBidi"/>
          <w:kern w:val="36"/>
        </w:rPr>
        <w:t xml:space="preserve"> </w:t>
      </w:r>
      <w:r w:rsidR="00320726">
        <w:rPr>
          <w:rFonts w:asciiTheme="majorBidi" w:hAnsiTheme="majorBidi" w:cstheme="majorBidi"/>
          <w:kern w:val="36"/>
        </w:rPr>
        <w:t>(</w:t>
      </w:r>
      <w:r w:rsidR="00320726" w:rsidRPr="009E19DD">
        <w:rPr>
          <w:rFonts w:asciiTheme="majorBidi" w:hAnsiTheme="majorBidi" w:cstheme="majorBidi"/>
          <w:kern w:val="36"/>
        </w:rPr>
        <w:t>group 2)</w:t>
      </w:r>
      <w:r w:rsidRPr="009E19DD">
        <w:rPr>
          <w:rFonts w:asciiTheme="majorBidi" w:hAnsiTheme="majorBidi" w:cstheme="majorBidi"/>
          <w:kern w:val="36"/>
        </w:rPr>
        <w:t xml:space="preserve">, </w:t>
      </w:r>
      <w:r w:rsidR="00320726">
        <w:rPr>
          <w:rFonts w:asciiTheme="majorBidi" w:hAnsiTheme="majorBidi" w:cstheme="majorBidi"/>
          <w:kern w:val="36"/>
        </w:rPr>
        <w:t>did</w:t>
      </w:r>
      <w:r w:rsidRPr="009E19DD">
        <w:rPr>
          <w:rFonts w:asciiTheme="majorBidi" w:hAnsiTheme="majorBidi" w:cstheme="majorBidi"/>
          <w:kern w:val="36"/>
        </w:rPr>
        <w:t xml:space="preserve"> </w:t>
      </w:r>
      <w:r w:rsidR="00320726">
        <w:rPr>
          <w:rFonts w:asciiTheme="majorBidi" w:hAnsiTheme="majorBidi" w:cstheme="majorBidi"/>
          <w:kern w:val="36"/>
        </w:rPr>
        <w:t xml:space="preserve">not </w:t>
      </w:r>
      <w:r w:rsidRPr="009E19DD">
        <w:rPr>
          <w:rFonts w:asciiTheme="majorBidi" w:hAnsiTheme="majorBidi" w:cstheme="majorBidi"/>
          <w:kern w:val="36"/>
        </w:rPr>
        <w:t xml:space="preserve">reveal any significant changes in </w:t>
      </w:r>
      <w:bookmarkStart w:id="4" w:name="_Hlk217449138"/>
      <w:r w:rsidRPr="009E19DD">
        <w:rPr>
          <w:rFonts w:asciiTheme="majorBidi" w:hAnsiTheme="majorBidi" w:cstheme="majorBidi"/>
          <w:kern w:val="36"/>
        </w:rPr>
        <w:t xml:space="preserve">platelet count (106 </w:t>
      </w:r>
      <w:r w:rsidRPr="009E19DD">
        <w:rPr>
          <w:rFonts w:asciiTheme="majorBidi" w:hAnsiTheme="majorBidi" w:cstheme="majorBidi"/>
          <w:kern w:val="36"/>
          <w:rtl/>
          <w:lang w:bidi="ar-EG"/>
        </w:rPr>
        <w:t>/</w:t>
      </w:r>
      <w:r w:rsidRPr="009E19DD">
        <w:rPr>
          <w:rFonts w:asciiTheme="majorBidi" w:hAnsiTheme="majorBidi" w:cstheme="majorBidi"/>
          <w:kern w:val="36"/>
          <w:lang w:bidi="ar-EG"/>
        </w:rPr>
        <w:t xml:space="preserve">cmm), PCT (%), and MPV (fL) </w:t>
      </w:r>
      <w:bookmarkEnd w:id="4"/>
      <w:r w:rsidRPr="009E19DD">
        <w:rPr>
          <w:rFonts w:asciiTheme="majorBidi" w:hAnsiTheme="majorBidi" w:cstheme="majorBidi"/>
          <w:kern w:val="36"/>
        </w:rPr>
        <w:t xml:space="preserve">in a sequential matter </w:t>
      </w:r>
      <w:r w:rsidR="00320726" w:rsidRPr="00CC317D">
        <w:rPr>
          <w:rFonts w:asciiTheme="majorBidi" w:hAnsiTheme="majorBidi" w:cstheme="majorBidi"/>
          <w:kern w:val="36"/>
        </w:rPr>
        <w:t>upon injecting rats with DMH 40 mg/kg in 1mM EDTA,</w:t>
      </w:r>
      <w:r w:rsidRPr="009E19DD">
        <w:rPr>
          <w:rFonts w:asciiTheme="majorBidi" w:hAnsiTheme="majorBidi" w:cstheme="majorBidi"/>
        </w:rPr>
        <w:t xml:space="preserve"> compared </w:t>
      </w:r>
      <w:r w:rsidR="00320726">
        <w:rPr>
          <w:rFonts w:asciiTheme="majorBidi" w:hAnsiTheme="majorBidi" w:cstheme="majorBidi"/>
        </w:rPr>
        <w:t xml:space="preserve">to </w:t>
      </w:r>
      <w:r w:rsidRPr="009E19DD">
        <w:rPr>
          <w:rFonts w:asciiTheme="majorBidi" w:hAnsiTheme="majorBidi" w:cstheme="majorBidi"/>
        </w:rPr>
        <w:t xml:space="preserve">control. Administration of </w:t>
      </w:r>
      <w:r w:rsidRPr="009E19DD">
        <w:rPr>
          <w:rFonts w:asciiTheme="majorBidi" w:hAnsiTheme="majorBidi" w:cstheme="majorBidi"/>
          <w:i/>
          <w:iCs/>
        </w:rPr>
        <w:t xml:space="preserve">VRE </w:t>
      </w:r>
      <w:r w:rsidRPr="009E19DD">
        <w:rPr>
          <w:rFonts w:asciiTheme="majorBidi" w:hAnsiTheme="majorBidi" w:cstheme="majorBidi"/>
        </w:rPr>
        <w:t xml:space="preserve">along with DMH to rats revealed </w:t>
      </w:r>
      <w:r w:rsidR="00320726">
        <w:rPr>
          <w:rFonts w:asciiTheme="majorBidi" w:hAnsiTheme="majorBidi" w:cstheme="majorBidi"/>
        </w:rPr>
        <w:t>no</w:t>
      </w:r>
      <w:r w:rsidRPr="009E19DD">
        <w:rPr>
          <w:rFonts w:asciiTheme="majorBidi" w:hAnsiTheme="majorBidi" w:cstheme="majorBidi"/>
        </w:rPr>
        <w:t xml:space="preserve"> significant changes in </w:t>
      </w:r>
      <w:r w:rsidRPr="009E19DD">
        <w:rPr>
          <w:rFonts w:asciiTheme="majorBidi" w:hAnsiTheme="majorBidi" w:cstheme="majorBidi"/>
          <w:kern w:val="36"/>
        </w:rPr>
        <w:t xml:space="preserve">platelet count (106 </w:t>
      </w:r>
      <w:r w:rsidRPr="009E19DD">
        <w:rPr>
          <w:rFonts w:asciiTheme="majorBidi" w:hAnsiTheme="majorBidi" w:cstheme="majorBidi"/>
          <w:kern w:val="36"/>
          <w:rtl/>
          <w:lang w:bidi="ar-EG"/>
        </w:rPr>
        <w:t>/</w:t>
      </w:r>
      <w:r w:rsidRPr="009E19DD">
        <w:rPr>
          <w:rFonts w:asciiTheme="majorBidi" w:hAnsiTheme="majorBidi" w:cstheme="majorBidi"/>
          <w:kern w:val="36"/>
          <w:lang w:bidi="ar-EG"/>
        </w:rPr>
        <w:t>cmm), PCT (%), and MPV (</w:t>
      </w:r>
      <w:r w:rsidRPr="009E19DD">
        <w:rPr>
          <w:rFonts w:asciiTheme="majorBidi" w:hAnsiTheme="majorBidi" w:cstheme="majorBidi"/>
          <w:kern w:val="36"/>
        </w:rPr>
        <w:t>fL) sequentially</w:t>
      </w:r>
      <w:r w:rsidRPr="009E19DD">
        <w:rPr>
          <w:rFonts w:asciiTheme="majorBidi" w:hAnsiTheme="majorBidi" w:cstheme="majorBidi"/>
        </w:rPr>
        <w:t xml:space="preserve"> if compared with that of the positive control group. The potential% produced by </w:t>
      </w:r>
      <w:r w:rsidRPr="009E19DD">
        <w:rPr>
          <w:rFonts w:asciiTheme="majorBidi" w:hAnsiTheme="majorBidi" w:cstheme="majorBidi"/>
          <w:i/>
          <w:iCs/>
        </w:rPr>
        <w:t xml:space="preserve">VRE </w:t>
      </w:r>
      <w:r w:rsidRPr="009E19DD">
        <w:rPr>
          <w:rFonts w:asciiTheme="majorBidi" w:hAnsiTheme="majorBidi" w:cstheme="majorBidi"/>
        </w:rPr>
        <w:t xml:space="preserve">was 78, 78, 98.5% after small dose in order, and 72.5, 70.5, and 101.5% respectively after large dose as when standardized against 5- FU. </w:t>
      </w:r>
    </w:p>
    <w:p w14:paraId="781A95D4" w14:textId="77777777" w:rsidR="002E2C50" w:rsidRPr="009106A5" w:rsidRDefault="002E2C50" w:rsidP="003B735A">
      <w:pPr>
        <w:spacing w:before="120" w:after="120"/>
        <w:jc w:val="both"/>
        <w:rPr>
          <w:rFonts w:asciiTheme="majorBidi" w:hAnsiTheme="majorBidi" w:cstheme="majorBidi"/>
          <w:b/>
          <w:bCs/>
          <w:u w:val="single"/>
        </w:rPr>
      </w:pPr>
      <w:r w:rsidRPr="009106A5">
        <w:rPr>
          <w:rFonts w:asciiTheme="majorBidi" w:hAnsiTheme="majorBidi" w:cstheme="majorBidi"/>
          <w:b/>
          <w:bCs/>
          <w:u w:val="single"/>
        </w:rPr>
        <w:t>Discussion</w:t>
      </w:r>
    </w:p>
    <w:p w14:paraId="32D3247D" w14:textId="175CFA4F" w:rsidR="005904C8" w:rsidRPr="009E19DD" w:rsidRDefault="005904C8" w:rsidP="003B735A">
      <w:pPr>
        <w:ind w:firstLine="425"/>
        <w:jc w:val="both"/>
        <w:rPr>
          <w:rFonts w:asciiTheme="majorBidi" w:hAnsiTheme="majorBidi" w:cstheme="majorBidi"/>
          <w:color w:val="000000" w:themeColor="text1"/>
        </w:rPr>
      </w:pPr>
      <w:bookmarkStart w:id="5" w:name="_Hlk219003762"/>
      <w:r w:rsidRPr="009E19DD">
        <w:rPr>
          <w:rFonts w:asciiTheme="majorBidi" w:hAnsiTheme="majorBidi" w:cstheme="majorBidi"/>
          <w:color w:val="000000" w:themeColor="text1"/>
        </w:rPr>
        <w:t xml:space="preserve">In this study, significant </w:t>
      </w:r>
      <w:r w:rsidR="008A00E3">
        <w:rPr>
          <w:rFonts w:asciiTheme="majorBidi" w:hAnsiTheme="majorBidi" w:cstheme="majorBidi"/>
          <w:color w:val="000000" w:themeColor="text1"/>
          <w:lang w:val="en-US"/>
        </w:rPr>
        <w:t>decrease</w:t>
      </w:r>
      <w:r w:rsidRPr="009E19DD">
        <w:rPr>
          <w:rFonts w:asciiTheme="majorBidi" w:hAnsiTheme="majorBidi" w:cstheme="majorBidi"/>
          <w:color w:val="000000" w:themeColor="text1"/>
        </w:rPr>
        <w:t xml:space="preserve"> in Hemoglobin was observed following DMH injection to the experimental animals (p</w:t>
      </w:r>
      <w:r w:rsidRPr="009E19DD">
        <w:rPr>
          <w:rFonts w:asciiTheme="majorBidi" w:hAnsiTheme="majorBidi" w:cstheme="majorBidi"/>
          <w:color w:val="000000" w:themeColor="text1"/>
          <w:rtl/>
          <w:lang w:bidi="ar-EG"/>
        </w:rPr>
        <w:t xml:space="preserve">&gt; </w:t>
      </w:r>
      <w:r w:rsidRPr="009E19DD">
        <w:rPr>
          <w:rFonts w:asciiTheme="majorBidi" w:hAnsiTheme="majorBidi" w:cstheme="majorBidi"/>
          <w:color w:val="000000" w:themeColor="text1"/>
          <w:lang w:bidi="ar-EG"/>
        </w:rPr>
        <w:t>0.05)</w:t>
      </w:r>
      <w:r w:rsidRPr="009E19DD">
        <w:rPr>
          <w:rFonts w:asciiTheme="majorBidi" w:hAnsiTheme="majorBidi" w:cstheme="majorBidi"/>
          <w:color w:val="000000" w:themeColor="text1"/>
        </w:rPr>
        <w:t xml:space="preserve"> which were restored by co-administration of </w:t>
      </w:r>
      <w:r w:rsidRPr="009E19DD">
        <w:rPr>
          <w:rFonts w:asciiTheme="majorBidi" w:hAnsiTheme="majorBidi" w:cstheme="majorBidi"/>
          <w:i/>
          <w:iCs/>
          <w:color w:val="000000" w:themeColor="text1"/>
        </w:rPr>
        <w:t xml:space="preserve">VRLE </w:t>
      </w:r>
      <w:r w:rsidRPr="009E19DD">
        <w:rPr>
          <w:rFonts w:asciiTheme="majorBidi" w:hAnsiTheme="majorBidi" w:cstheme="majorBidi"/>
          <w:color w:val="000000" w:themeColor="text1"/>
        </w:rPr>
        <w:t>in a dose dependent matter, being (100%) when standardized against 5-FU.</w:t>
      </w:r>
    </w:p>
    <w:p w14:paraId="692B99BD" w14:textId="4F21C21E" w:rsidR="005904C8" w:rsidRPr="009E19DD" w:rsidRDefault="005904C8" w:rsidP="003B735A">
      <w:pPr>
        <w:autoSpaceDE w:val="0"/>
        <w:autoSpaceDN w:val="0"/>
        <w:adjustRightInd w:val="0"/>
        <w:ind w:firstLine="425"/>
        <w:jc w:val="both"/>
        <w:rPr>
          <w:rFonts w:asciiTheme="majorBidi" w:eastAsia="STIX-Regular" w:hAnsiTheme="majorBidi" w:cstheme="majorBidi"/>
          <w:color w:val="000000"/>
        </w:rPr>
      </w:pPr>
      <w:r w:rsidRPr="009E19DD">
        <w:rPr>
          <w:rFonts w:asciiTheme="majorBidi" w:hAnsiTheme="majorBidi" w:cstheme="majorBidi"/>
          <w:color w:val="000000" w:themeColor="text1"/>
        </w:rPr>
        <w:t xml:space="preserve">These results </w:t>
      </w:r>
      <w:r w:rsidR="008A00E3" w:rsidRPr="008A00E3">
        <w:rPr>
          <w:rFonts w:asciiTheme="majorBidi" w:hAnsiTheme="majorBidi" w:cstheme="majorBidi"/>
          <w:color w:val="000000" w:themeColor="text1"/>
        </w:rPr>
        <w:t xml:space="preserve">may be supported with those of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 ExcludeAuth="1"&gt;&lt;Author&gt;Los&lt;/Author&gt;&lt;Year&gt;2025&lt;/Year&gt;&lt;RecNum&gt;34&lt;/RecNum&gt;&lt;DisplayText&gt;[30]&lt;/DisplayText&gt;&lt;record&gt;&lt;rec-number&gt;34&lt;/rec-number&gt;&lt;foreign-keys&gt;&lt;key app="EN" db-id="p50etfvw0vx2rxeas51ppx2udswf5rra0x99" timestamp="1766983196"&gt;34&lt;/key&gt;&lt;/foreign-keys&gt;&lt;ref-type name="Journal Article"&gt;17&lt;/ref-type&gt;&lt;contributors&gt;&lt;authors&gt;&lt;author&gt;Los, Bruna&lt;/author&gt;&lt;author&gt;Rocha, Bruno Aragão&lt;/author&gt;&lt;author&gt;da Silva, Daniel Noce&lt;/author&gt;&lt;author&gt;Ribeiro, Vinicius Moura&lt;/author&gt;&lt;author&gt;Kohara, Marco Aurelio&lt;/author&gt;&lt;author&gt;Rodrigues, Rodrigo Azevedo&lt;/author&gt;&lt;author&gt;Pintão, Maria Carolina Tostes&lt;/author&gt;&lt;author&gt;Pereira, Otavio Jose Eulalio&lt;/author&gt;&lt;author&gt;de Morais Malvezzi, João Vicente&lt;/author&gt;&lt;author&gt;da Silva, Flavia Helena&lt;/author&gt;&lt;/authors&gt;&lt;/contributors&gt;&lt;titles&gt;&lt;title&gt;AI-driven pre-screening for colorectal cancer using complete blood counts: toward broader population impact&lt;/title&gt;&lt;secondary-title&gt;International Journal of Colorectal Disease&lt;/secondary-title&gt;&lt;/titles&gt;&lt;periodical&gt;&lt;full-title&gt;International Journal of Colorectal Disease&lt;/full-title&gt;&lt;/periodical&gt;&lt;pages&gt;235&lt;/pages&gt;&lt;volume&gt;40&lt;/volume&gt;&lt;number&gt;1&lt;/number&gt;&lt;dates&gt;&lt;year&gt;2025&lt;/year&gt;&lt;/dates&gt;&lt;isbn&gt;1432-1262&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w:t>
      </w:r>
      <w:r w:rsidR="00F17477">
        <w:rPr>
          <w:rFonts w:asciiTheme="majorBidi" w:hAnsiTheme="majorBidi" w:cstheme="majorBidi"/>
          <w:noProof/>
          <w:color w:val="00B0F0"/>
        </w:rPr>
        <w:t>23</w:t>
      </w:r>
      <w:r w:rsidR="00586342">
        <w:rPr>
          <w:rFonts w:asciiTheme="majorBidi" w:hAnsiTheme="majorBidi" w:cstheme="majorBidi"/>
          <w:noProof/>
          <w:color w:val="00B0F0"/>
        </w:rPr>
        <w:t>]</w:t>
      </w:r>
      <w:r w:rsidRPr="009E19DD">
        <w:rPr>
          <w:rFonts w:asciiTheme="majorBidi" w:hAnsiTheme="majorBidi" w:cstheme="majorBidi"/>
          <w:color w:val="00B0F0"/>
        </w:rPr>
        <w:fldChar w:fldCharType="end"/>
      </w:r>
      <w:r w:rsidRPr="009E19DD">
        <w:rPr>
          <w:rFonts w:asciiTheme="majorBidi" w:hAnsiTheme="majorBidi" w:cstheme="majorBidi"/>
          <w:color w:val="000000" w:themeColor="text1"/>
        </w:rPr>
        <w:t xml:space="preserve"> found that </w:t>
      </w:r>
      <w:r w:rsidRPr="009E19DD">
        <w:rPr>
          <w:rFonts w:asciiTheme="majorBidi" w:eastAsia="STIX-Regular" w:hAnsiTheme="majorBidi" w:cstheme="majorBidi"/>
          <w:color w:val="000000"/>
        </w:rPr>
        <w:t xml:space="preserve">For patients with colorectal cancer, low hemoglobin levels are associated with anaemia, inflammation, and increased tumor aggressiveness. </w:t>
      </w:r>
    </w:p>
    <w:p w14:paraId="48B5C8B1" w14:textId="791EE446" w:rsidR="005904C8" w:rsidRDefault="005904C8" w:rsidP="003B735A">
      <w:pPr>
        <w:autoSpaceDE w:val="0"/>
        <w:autoSpaceDN w:val="0"/>
        <w:adjustRightInd w:val="0"/>
        <w:ind w:firstLine="425"/>
        <w:jc w:val="both"/>
        <w:rPr>
          <w:rFonts w:asciiTheme="majorBidi" w:eastAsia="Calibri" w:hAnsiTheme="majorBidi" w:cstheme="majorBidi"/>
          <w:color w:val="000000" w:themeColor="text1"/>
          <w:lang w:bidi="ar-EG"/>
        </w:rPr>
      </w:pPr>
      <w:r w:rsidRPr="009E19DD">
        <w:rPr>
          <w:rFonts w:asciiTheme="majorBidi" w:eastAsia="STIX-Regular" w:hAnsiTheme="majorBidi" w:cstheme="majorBidi"/>
          <w:color w:val="000000"/>
        </w:rPr>
        <w:t>MCHC (%) were lower in DMH group, but there was no significance with other groups also in other parameters with the exception of Hemoglobin</w:t>
      </w:r>
      <w:r w:rsidRPr="009E19DD">
        <w:rPr>
          <w:rFonts w:asciiTheme="majorBidi" w:eastAsia="Calibri" w:hAnsiTheme="majorBidi" w:cstheme="majorBidi"/>
          <w:lang w:bidi="ar-EG"/>
        </w:rPr>
        <w:t>,</w:t>
      </w:r>
      <w:r w:rsidRPr="009E19DD">
        <w:rPr>
          <w:rFonts w:asciiTheme="majorBidi" w:eastAsia="Calibri" w:hAnsiTheme="majorBidi" w:cstheme="majorBidi"/>
        </w:rPr>
        <w:t xml:space="preserve"> </w:t>
      </w:r>
      <w:r w:rsidRPr="009E19DD">
        <w:rPr>
          <w:rFonts w:asciiTheme="majorBidi" w:eastAsia="Calibri" w:hAnsiTheme="majorBidi" w:cstheme="majorBidi"/>
          <w:lang w:bidi="ar-EG"/>
        </w:rPr>
        <w:t xml:space="preserve">these results are consistent with those of </w:t>
      </w:r>
      <w:r w:rsidRPr="009E19DD">
        <w:rPr>
          <w:rFonts w:asciiTheme="majorBidi" w:eastAsia="Calibri" w:hAnsiTheme="majorBidi" w:cstheme="majorBidi"/>
          <w:color w:val="00B0F0"/>
          <w:lang w:bidi="ar-EG"/>
        </w:rPr>
        <w:fldChar w:fldCharType="begin"/>
      </w:r>
      <w:r w:rsidR="00586342">
        <w:rPr>
          <w:rFonts w:asciiTheme="majorBidi" w:eastAsia="Calibri" w:hAnsiTheme="majorBidi" w:cstheme="majorBidi"/>
          <w:color w:val="00B0F0"/>
          <w:lang w:bidi="ar-EG"/>
        </w:rPr>
        <w:instrText xml:space="preserve"> ADDIN EN.CITE &lt;EndNote&gt;&lt;Cite ExcludeAuth="1"&gt;&lt;Author&gt;Alsalman&lt;/Author&gt;&lt;Year&gt;2022&lt;/Year&gt;&lt;RecNum&gt;36&lt;/RecNum&gt;&lt;DisplayText&gt;[10]&lt;/DisplayText&gt;&lt;record&gt;&lt;rec-number&gt;36&lt;/rec-number&gt;&lt;foreign-keys&gt;&lt;key app="EN" db-id="p50etfvw0vx2rxeas51ppx2udswf5rra0x99" timestamp="1766986515"&gt;36&lt;/key&gt;&lt;/foreign-keys&gt;&lt;ref-type name="Journal Article"&gt;17&lt;/ref-type&gt;&lt;contributors&gt;&lt;authors&gt;&lt;author&gt;Alsalman, Alhasan&lt;/author&gt;&lt;author&gt;Al-Mterin, Mohammad A&lt;/author&gt;&lt;author&gt;Abu-Dayeh, Ala&lt;/author&gt;&lt;author&gt;Alloush, Ferial&lt;/author&gt;&lt;author&gt;Murshed, Khaled&lt;/author&gt;&lt;author&gt;Elkord, Eyad&lt;/author&gt;&lt;/authors&gt;&lt;/contributors&gt;&lt;titles&gt;&lt;title&gt;Associations of complete blood count parameters with disease-free survival in right-and left-sided colorectal cancer patients&lt;/title&gt;&lt;secondary-title&gt;Journal of personalized medicine&lt;/secondary-title&gt;&lt;/titles&gt;&lt;periodical&gt;&lt;full-title&gt;Journal of personalized medicine&lt;/full-title&gt;&lt;/periodical&gt;&lt;pages&gt;816&lt;/pages&gt;&lt;volume&gt;12&lt;/volume&gt;&lt;number&gt;5&lt;/number&gt;&lt;dates&gt;&lt;year&gt;2022&lt;/year&gt;&lt;/dates&gt;&lt;isbn&gt;2075-4426&lt;/isbn&gt;&lt;urls&gt;&lt;/urls&gt;&lt;/record&gt;&lt;/Cite&gt;&lt;/EndNote&gt;</w:instrText>
      </w:r>
      <w:r w:rsidRPr="009E19DD">
        <w:rPr>
          <w:rFonts w:asciiTheme="majorBidi" w:eastAsia="Calibri" w:hAnsiTheme="majorBidi" w:cstheme="majorBidi"/>
          <w:color w:val="00B0F0"/>
          <w:lang w:bidi="ar-EG"/>
        </w:rPr>
        <w:fldChar w:fldCharType="separate"/>
      </w:r>
      <w:r w:rsidR="00586342">
        <w:rPr>
          <w:rFonts w:asciiTheme="majorBidi" w:eastAsia="Calibri" w:hAnsiTheme="majorBidi" w:cstheme="majorBidi"/>
          <w:noProof/>
          <w:color w:val="00B0F0"/>
          <w:lang w:bidi="ar-EG"/>
        </w:rPr>
        <w:t>[10]</w:t>
      </w:r>
      <w:r w:rsidRPr="009E19DD">
        <w:rPr>
          <w:rFonts w:asciiTheme="majorBidi" w:eastAsia="Calibri" w:hAnsiTheme="majorBidi" w:cstheme="majorBidi"/>
          <w:color w:val="00B0F0"/>
          <w:lang w:bidi="ar-EG"/>
        </w:rPr>
        <w:fldChar w:fldCharType="end"/>
      </w:r>
      <w:r w:rsidRPr="009E19DD">
        <w:rPr>
          <w:rFonts w:asciiTheme="majorBidi" w:eastAsia="Calibri" w:hAnsiTheme="majorBidi" w:cstheme="majorBidi"/>
          <w:color w:val="00B0F0"/>
          <w:lang w:bidi="ar-EG"/>
        </w:rPr>
        <w:t xml:space="preserve"> </w:t>
      </w:r>
      <w:r w:rsidRPr="009E19DD">
        <w:rPr>
          <w:rFonts w:asciiTheme="majorBidi" w:eastAsia="Calibri" w:hAnsiTheme="majorBidi" w:cstheme="majorBidi"/>
          <w:color w:val="000000" w:themeColor="text1"/>
          <w:lang w:bidi="ar-EG"/>
        </w:rPr>
        <w:t>mentioned that we compared the three groups' levels of different clinical indicators. White blood cells (WBC), red blood cells (RBC), Hgb, Hct, mean corpuscular volume (MCV), mean corpuscular hemoglobin (MCH), mean corpuscular hemoglobin concentration (MCHC), neutrophils, lymphocytes, monocytes, eosinophils, and basophils did not significantly differ between patients with varying tumor budding statuses. Only three CBC measures showed differences in values across patients with varying tumor budding statuses.</w:t>
      </w:r>
    </w:p>
    <w:p w14:paraId="554CAFE0" w14:textId="3B9A1641" w:rsidR="005904C8" w:rsidRPr="00086B5A" w:rsidRDefault="005904C8" w:rsidP="00B55711">
      <w:pPr>
        <w:autoSpaceDE w:val="0"/>
        <w:autoSpaceDN w:val="0"/>
        <w:adjustRightInd w:val="0"/>
        <w:ind w:firstLine="425"/>
        <w:jc w:val="both"/>
        <w:rPr>
          <w:rFonts w:asciiTheme="majorBidi" w:eastAsia="Calibri" w:hAnsiTheme="majorBidi" w:cstheme="majorBidi"/>
          <w:color w:val="000000" w:themeColor="text1"/>
          <w:lang w:bidi="ar-EG"/>
        </w:rPr>
      </w:pPr>
      <w:r w:rsidRPr="008F7E68">
        <w:rPr>
          <w:rFonts w:asciiTheme="majorBidi" w:eastAsia="Calibri" w:hAnsiTheme="majorBidi" w:cstheme="majorBidi"/>
          <w:color w:val="000000" w:themeColor="text1"/>
          <w:lang w:bidi="ar-EG"/>
        </w:rPr>
        <w:t xml:space="preserve">There was no discernible difference between the groups despite the DMH group's </w:t>
      </w:r>
      <w:r w:rsidR="00C10E5B" w:rsidRPr="008F7E68">
        <w:rPr>
          <w:rFonts w:asciiTheme="majorBidi" w:eastAsia="Calibri" w:hAnsiTheme="majorBidi" w:cstheme="majorBidi"/>
          <w:color w:val="000000" w:themeColor="text1"/>
          <w:lang w:bidi="ar-EG"/>
        </w:rPr>
        <w:t>decreased</w:t>
      </w:r>
      <w:r w:rsidRPr="008F7E68">
        <w:rPr>
          <w:rFonts w:asciiTheme="majorBidi" w:eastAsia="Calibri" w:hAnsiTheme="majorBidi" w:cstheme="majorBidi"/>
          <w:color w:val="000000" w:themeColor="text1"/>
          <w:lang w:bidi="ar-EG"/>
        </w:rPr>
        <w:t xml:space="preserve"> levels of RBC, hemoglobin (Hb), haematocrits (%), </w:t>
      </w:r>
      <w:r w:rsidR="00C10E5B" w:rsidRPr="008F7E68">
        <w:rPr>
          <w:rFonts w:asciiTheme="majorBidi" w:eastAsia="Calibri" w:hAnsiTheme="majorBidi" w:cstheme="majorBidi"/>
          <w:color w:val="000000" w:themeColor="text1"/>
          <w:lang w:bidi="ar-EG"/>
        </w:rPr>
        <w:t xml:space="preserve">increase </w:t>
      </w:r>
      <w:r w:rsidRPr="008F7E68">
        <w:rPr>
          <w:rFonts w:asciiTheme="majorBidi" w:eastAsia="Calibri" w:hAnsiTheme="majorBidi" w:cstheme="majorBidi"/>
          <w:color w:val="000000" w:themeColor="text1"/>
          <w:lang w:bidi="ar-EG"/>
        </w:rPr>
        <w:t>total leucocytic count, neutrophils, lymphocytes, monocytes</w:t>
      </w:r>
      <w:r w:rsidRPr="009E19DD">
        <w:rPr>
          <w:rFonts w:asciiTheme="majorBidi" w:eastAsia="Calibri" w:hAnsiTheme="majorBidi" w:cstheme="majorBidi"/>
          <w:color w:val="000000" w:themeColor="text1"/>
          <w:lang w:bidi="ar-EG"/>
        </w:rPr>
        <w:t xml:space="preserve">, and platelets. </w:t>
      </w:r>
      <w:r w:rsidRPr="009E19DD">
        <w:rPr>
          <w:rFonts w:asciiTheme="majorBidi" w:hAnsiTheme="majorBidi" w:cstheme="majorBidi"/>
        </w:rPr>
        <w:t xml:space="preserve">The present findings were  in the same line as those reported by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 ExcludeAuth="1"&gt;&lt;Author&gt;Valaei&lt;/Author&gt;&lt;Year&gt;2022&lt;/Year&gt;&lt;RecNum&gt;35&lt;/RecNum&gt;&lt;DisplayText&gt;[31]&lt;/DisplayText&gt;&lt;record&gt;&lt;rec-number&gt;35&lt;/rec-number&gt;&lt;foreign-keys&gt;&lt;key app="EN" db-id="p50etfvw0vx2rxeas51ppx2udswf5rra0x99" timestamp="1766985982"&gt;35&lt;/key&gt;&lt;/foreign-keys&gt;&lt;ref-type name="Journal Article"&gt;17&lt;/ref-type&gt;&lt;contributors&gt;&lt;authors&gt;&lt;author&gt;Valaei, Amirhasan&lt;/author&gt;&lt;author&gt;Azadeh, Fatemeh&lt;/author&gt;&lt;author&gt;Mostafavi Niaki, Seyedeh Talayeh&lt;/author&gt;&lt;author&gt;Salehi, Alireza&lt;/author&gt;&lt;author&gt;Shakib Khoob, Maede&lt;/author&gt;&lt;author&gt;Mirebrahimi, Seyed Hesam odin&lt;/author&gt;&lt;author&gt;Kazemi, Sohrab&lt;/author&gt;&lt;author&gt;Hosseini, Seyed Mohammad&lt;/author&gt;&lt;/authors&gt;&lt;/contributors&gt;&lt;titles&gt;&lt;title&gt;Antioxidant and anticancer potentials of the olive and sesame mixture against dimethylhydrazine‐induced colorectal cancer in Wistar rats&lt;/title&gt;&lt;secondary-title&gt;BioMed Research International&lt;/secondary-title&gt;&lt;/titles&gt;&lt;periodical&gt;&lt;full-title&gt;BioMed Research International&lt;/full-title&gt;&lt;/periodical&gt;&lt;pages&gt;5440773&lt;/pages&gt;&lt;volume&gt;2022&lt;/volume&gt;&lt;number&gt;1&lt;/number&gt;&lt;dates&gt;&lt;year&gt;2022&lt;/year&gt;&lt;/dates&gt;&lt;isbn&gt;2314-6141&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w:t>
      </w:r>
      <w:r w:rsidR="00F17477">
        <w:rPr>
          <w:rFonts w:asciiTheme="majorBidi" w:hAnsiTheme="majorBidi" w:cstheme="majorBidi"/>
          <w:noProof/>
          <w:color w:val="00B0F0"/>
        </w:rPr>
        <w:t>24</w:t>
      </w:r>
      <w:r w:rsidR="00586342">
        <w:rPr>
          <w:rFonts w:asciiTheme="majorBidi" w:hAnsiTheme="majorBidi" w:cstheme="majorBidi"/>
          <w:noProof/>
          <w:color w:val="00B0F0"/>
        </w:rPr>
        <w:t>]</w:t>
      </w:r>
      <w:r w:rsidRPr="009E19DD">
        <w:rPr>
          <w:rFonts w:asciiTheme="majorBidi" w:hAnsiTheme="majorBidi" w:cstheme="majorBidi"/>
          <w:color w:val="00B0F0"/>
        </w:rPr>
        <w:fldChar w:fldCharType="end"/>
      </w:r>
      <w:r w:rsidRPr="009E19DD">
        <w:rPr>
          <w:rFonts w:asciiTheme="majorBidi" w:hAnsiTheme="majorBidi" w:cstheme="majorBidi"/>
          <w:color w:val="00B0F0"/>
        </w:rPr>
        <w:t xml:space="preserve"> </w:t>
      </w:r>
      <w:r w:rsidRPr="009E19DD">
        <w:rPr>
          <w:rFonts w:asciiTheme="majorBidi" w:hAnsiTheme="majorBidi" w:cstheme="majorBidi"/>
        </w:rPr>
        <w:t xml:space="preserve">showed the hematological parameters. There was no discernible difference between the groups despite the DMH group's reduced RBC, hemoglobin (Hb), RDW, MCHC, MCH, MCV, and haematocrits (HCT) levels, and agreed with those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 ExcludeAuth="1"&gt;&lt;Author&gt;Salehi&lt;/Author&gt;&lt;Year&gt;2022&lt;/Year&gt;&lt;RecNum&gt;38&lt;/RecNum&gt;&lt;DisplayText&gt;[32]&lt;/DisplayText&gt;&lt;record&gt;&lt;rec-number&gt;38&lt;/rec-number&gt;&lt;foreign-keys&gt;&lt;key app="EN" db-id="p50etfvw0vx2rxeas51ppx2udswf5rra0x99" timestamp="1767068178"&gt;38&lt;/key&gt;&lt;/foreign-keys&gt;&lt;ref-type name="Journal Article"&gt;17&lt;/ref-type&gt;&lt;contributors&gt;&lt;authors&gt;&lt;author&gt;Salehi, Alireza&lt;/author&gt;&lt;author&gt;Hosseini, Seyed Mohammad&lt;/author&gt;&lt;author&gt;Kazemi, Sohrab&lt;/author&gt;&lt;/authors&gt;&lt;/contributors&gt;&lt;titles&gt;&lt;title&gt;Antioxidant and anticarcinogenic potentials of propolis for dimethylhydrazine‐induced colorectal cancer in Wistar rats&lt;/title&gt;&lt;secondary-title&gt;BioMed Research International&lt;/secondary-title&gt;&lt;/titles&gt;&lt;periodical&gt;&lt;full-title&gt;BioMed Research International&lt;/full-title&gt;&lt;/periodical&gt;&lt;pages&gt;8497562&lt;/pages&gt;&lt;volume&gt;2022&lt;/volume&gt;&lt;number&gt;1&lt;/number&gt;&lt;dates&gt;&lt;year&gt;2022&lt;/year&gt;&lt;/dates&gt;&lt;isbn&gt;2314-6141&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w:t>
      </w:r>
      <w:r w:rsidR="00F17477">
        <w:rPr>
          <w:rFonts w:asciiTheme="majorBidi" w:hAnsiTheme="majorBidi" w:cstheme="majorBidi"/>
          <w:noProof/>
          <w:color w:val="00B0F0"/>
        </w:rPr>
        <w:t>25</w:t>
      </w:r>
      <w:r w:rsidR="00586342">
        <w:rPr>
          <w:rFonts w:asciiTheme="majorBidi" w:hAnsiTheme="majorBidi" w:cstheme="majorBidi"/>
          <w:noProof/>
          <w:color w:val="00B0F0"/>
        </w:rPr>
        <w:t>]</w:t>
      </w:r>
      <w:r w:rsidRPr="009E19DD">
        <w:rPr>
          <w:rFonts w:asciiTheme="majorBidi" w:hAnsiTheme="majorBidi" w:cstheme="majorBidi"/>
          <w:color w:val="00B0F0"/>
        </w:rPr>
        <w:fldChar w:fldCharType="end"/>
      </w:r>
      <w:r w:rsidRPr="009E19DD">
        <w:rPr>
          <w:rFonts w:asciiTheme="majorBidi" w:hAnsiTheme="majorBidi" w:cstheme="majorBidi"/>
          <w:color w:val="00B0F0"/>
        </w:rPr>
        <w:t xml:space="preserve"> </w:t>
      </w:r>
      <w:r w:rsidRPr="009E19DD">
        <w:rPr>
          <w:rFonts w:asciiTheme="majorBidi" w:hAnsiTheme="majorBidi" w:cstheme="majorBidi"/>
        </w:rPr>
        <w:t xml:space="preserve">Although the DMH group's </w:t>
      </w:r>
      <w:r w:rsidRPr="009E19DD">
        <w:rPr>
          <w:rFonts w:asciiTheme="majorBidi" w:hAnsiTheme="majorBidi" w:cstheme="majorBidi"/>
        </w:rPr>
        <w:lastRenderedPageBreak/>
        <w:t>RBC, RDW, MCHC, MCH, MCV, and hematocrit (HCT) levels decreased, the differences between the groups were not statistically significant.</w:t>
      </w:r>
    </w:p>
    <w:p w14:paraId="7A041690" w14:textId="449EC447" w:rsidR="005904C8" w:rsidRPr="009E19DD" w:rsidRDefault="005904C8" w:rsidP="003B735A">
      <w:pPr>
        <w:autoSpaceDE w:val="0"/>
        <w:autoSpaceDN w:val="0"/>
        <w:adjustRightInd w:val="0"/>
        <w:jc w:val="both"/>
        <w:rPr>
          <w:rFonts w:asciiTheme="majorBidi" w:hAnsiTheme="majorBidi" w:cstheme="majorBidi"/>
        </w:rPr>
      </w:pPr>
      <w:r w:rsidRPr="009E19DD">
        <w:rPr>
          <w:rFonts w:asciiTheme="majorBidi" w:eastAsia="STIX-Regular" w:hAnsiTheme="majorBidi" w:cstheme="majorBidi"/>
          <w:color w:val="000000"/>
        </w:rPr>
        <w:t xml:space="preserve">Despite the higher Leucocytes, Neutrophils and Platelets levels in DMH groups, there was no significant difference noticed between groups. </w:t>
      </w:r>
      <w:bookmarkStart w:id="6" w:name="_Hlk218054373"/>
      <w:r w:rsidRPr="009E19DD">
        <w:rPr>
          <w:rFonts w:asciiTheme="majorBidi" w:eastAsia="STIX-Regular" w:hAnsiTheme="majorBidi" w:cstheme="majorBidi"/>
          <w:color w:val="000000"/>
        </w:rPr>
        <w:t>These results are</w:t>
      </w:r>
      <w:r w:rsidRPr="009E19DD">
        <w:rPr>
          <w:rFonts w:asciiTheme="majorBidi" w:hAnsiTheme="majorBidi" w:cstheme="majorBidi"/>
        </w:rPr>
        <w:t xml:space="preserve"> </w:t>
      </w:r>
      <w:bookmarkEnd w:id="6"/>
      <w:r w:rsidRPr="009E19DD">
        <w:rPr>
          <w:rFonts w:asciiTheme="majorBidi" w:hAnsiTheme="majorBidi" w:cstheme="majorBidi"/>
        </w:rPr>
        <w:t xml:space="preserve">compatible to </w:t>
      </w:r>
      <w:r w:rsidRPr="009E19DD">
        <w:rPr>
          <w:rFonts w:asciiTheme="majorBidi" w:hAnsiTheme="majorBidi" w:cstheme="majorBidi"/>
          <w:color w:val="00B0F0"/>
        </w:rPr>
        <w:fldChar w:fldCharType="begin"/>
      </w:r>
      <w:r w:rsidR="00586342">
        <w:rPr>
          <w:rFonts w:asciiTheme="majorBidi" w:hAnsiTheme="majorBidi" w:cstheme="majorBidi"/>
          <w:color w:val="00B0F0"/>
        </w:rPr>
        <w:instrText xml:space="preserve"> ADDIN EN.CITE &lt;EndNote&gt;&lt;Cite ExcludeAuth="1"&gt;&lt;Author&gt;Shakib Khoob&lt;/Author&gt;&lt;Year&gt;2022&lt;/Year&gt;&lt;RecNum&gt;40&lt;/RecNum&gt;&lt;DisplayText&gt;[33]&lt;/DisplayText&gt;&lt;record&gt;&lt;rec-number&gt;40&lt;/rec-number&gt;&lt;foreign-keys&gt;&lt;key app="EN" db-id="p50etfvw0vx2rxeas51ppx2udswf5rra0x99" timestamp="1767154814"&gt;40&lt;/key&gt;&lt;/foreign-keys&gt;&lt;ref-type name="Journal Article"&gt;17&lt;/ref-type&gt;&lt;contributors&gt;&lt;authors&gt;&lt;author&gt;Shakib Khoob, Maede&lt;/author&gt;&lt;author&gt;Hosseini, Seyed Mohammad&lt;/author&gt;&lt;author&gt;Kazemi, Sohrab&lt;/author&gt;&lt;/authors&gt;&lt;/contributors&gt;&lt;titles&gt;&lt;title&gt;In vitro and in vivo antioxidant and anticancer potentials of royal jelly for dimethylhydrazine‐induced colorectal cancer in Wistar rats&lt;/title&gt;&lt;secondary-title&gt;Oxidative Medicine and Cellular Longevity&lt;/secondary-title&gt;&lt;/titles&gt;&lt;periodical&gt;&lt;full-title&gt;Oxidative Medicine and Cellular Longevity&lt;/full-title&gt;&lt;/periodical&gt;&lt;pages&gt;9506026&lt;/pages&gt;&lt;volume&gt;2022&lt;/volume&gt;&lt;number&gt;1&lt;/number&gt;&lt;dates&gt;&lt;year&gt;2022&lt;/year&gt;&lt;/dates&gt;&lt;isbn&gt;1942-0994&lt;/isbn&gt;&lt;urls&gt;&lt;/urls&gt;&lt;/record&gt;&lt;/Cite&gt;&lt;/EndNote&gt;</w:instrText>
      </w:r>
      <w:r w:rsidRPr="009E19DD">
        <w:rPr>
          <w:rFonts w:asciiTheme="majorBidi" w:hAnsiTheme="majorBidi" w:cstheme="majorBidi"/>
          <w:color w:val="00B0F0"/>
        </w:rPr>
        <w:fldChar w:fldCharType="separate"/>
      </w:r>
      <w:r w:rsidR="00586342">
        <w:rPr>
          <w:rFonts w:asciiTheme="majorBidi" w:hAnsiTheme="majorBidi" w:cstheme="majorBidi"/>
          <w:noProof/>
          <w:color w:val="00B0F0"/>
        </w:rPr>
        <w:t>[</w:t>
      </w:r>
      <w:r w:rsidR="00B55711">
        <w:rPr>
          <w:rFonts w:asciiTheme="majorBidi" w:hAnsiTheme="majorBidi" w:cstheme="majorBidi"/>
          <w:noProof/>
          <w:color w:val="00B0F0"/>
        </w:rPr>
        <w:t>26</w:t>
      </w:r>
      <w:r w:rsidR="00586342">
        <w:rPr>
          <w:rFonts w:asciiTheme="majorBidi" w:hAnsiTheme="majorBidi" w:cstheme="majorBidi"/>
          <w:noProof/>
          <w:color w:val="00B0F0"/>
        </w:rPr>
        <w:t>]</w:t>
      </w:r>
      <w:r w:rsidRPr="009E19DD">
        <w:rPr>
          <w:rFonts w:asciiTheme="majorBidi" w:hAnsiTheme="majorBidi" w:cstheme="majorBidi"/>
          <w:color w:val="00B0F0"/>
        </w:rPr>
        <w:fldChar w:fldCharType="end"/>
      </w:r>
      <w:r w:rsidRPr="009E19DD">
        <w:rPr>
          <w:rFonts w:asciiTheme="majorBidi" w:hAnsiTheme="majorBidi" w:cstheme="majorBidi"/>
        </w:rPr>
        <w:t xml:space="preserve"> observed that the DMH group had lower levels of RBC, hemoglobin, RDW, MCHC, MCV, MCH, and haematocrit (HCT) than the control group. Additionally, compared to the DMH group, both therapy groups had superior status. There was no discernible difference between the other groups.</w:t>
      </w:r>
      <w:r w:rsidRPr="009E19DD">
        <w:rPr>
          <w:rFonts w:asciiTheme="majorBidi" w:eastAsia="STIX-Regular" w:hAnsiTheme="majorBidi" w:cstheme="majorBidi"/>
          <w:color w:val="000000"/>
        </w:rPr>
        <w:t xml:space="preserve">  And these results are</w:t>
      </w:r>
      <w:r w:rsidRPr="009E19DD">
        <w:rPr>
          <w:rFonts w:asciiTheme="majorBidi" w:hAnsiTheme="majorBidi" w:cstheme="majorBidi"/>
        </w:rPr>
        <w:t xml:space="preserve"> partially consistent with</w:t>
      </w:r>
      <w:r w:rsidRPr="009E19DD">
        <w:rPr>
          <w:rFonts w:asciiTheme="majorBidi" w:eastAsia="STIX-Regular" w:hAnsiTheme="majorBidi" w:cstheme="majorBidi"/>
          <w:color w:val="00B0F0"/>
        </w:rPr>
        <w:t xml:space="preserve"> </w:t>
      </w:r>
      <w:r w:rsidRPr="009E19DD">
        <w:rPr>
          <w:rFonts w:asciiTheme="majorBidi" w:eastAsia="STIX-Regular" w:hAnsiTheme="majorBidi" w:cstheme="majorBidi"/>
          <w:color w:val="00B0F0"/>
        </w:rPr>
        <w:fldChar w:fldCharType="begin"/>
      </w:r>
      <w:r w:rsidR="00586342">
        <w:rPr>
          <w:rFonts w:asciiTheme="majorBidi" w:eastAsia="STIX-Regular" w:hAnsiTheme="majorBidi" w:cstheme="majorBidi"/>
          <w:color w:val="00B0F0"/>
        </w:rPr>
        <w:instrText xml:space="preserve"> ADDIN EN.CITE &lt;EndNote&gt;&lt;Cite ExcludeAuth="1"&gt;&lt;Author&gt;Salehi&lt;/Author&gt;&lt;Year&gt;2022&lt;/Year&gt;&lt;RecNum&gt;38&lt;/RecNum&gt;&lt;DisplayText&gt;[32]&lt;/DisplayText&gt;&lt;record&gt;&lt;rec-number&gt;38&lt;/rec-number&gt;&lt;foreign-keys&gt;&lt;key app="EN" db-id="p50etfvw0vx2rxeas51ppx2udswf5rra0x99" timestamp="1767068178"&gt;38&lt;/key&gt;&lt;/foreign-keys&gt;&lt;ref-type name="Journal Article"&gt;17&lt;/ref-type&gt;&lt;contributors&gt;&lt;authors&gt;&lt;author&gt;Salehi, Alireza&lt;/author&gt;&lt;author&gt;Hosseini, Seyed Mohammad&lt;/author&gt;&lt;author&gt;Kazemi, Sohrab&lt;/author&gt;&lt;/authors&gt;&lt;/contributors&gt;&lt;titles&gt;&lt;title&gt;Antioxi</w:instrText>
      </w:r>
      <w:r w:rsidR="00586342">
        <w:rPr>
          <w:rFonts w:asciiTheme="majorBidi" w:eastAsia="STIX-Regular" w:hAnsiTheme="majorBidi" w:cstheme="majorBidi" w:hint="eastAsia"/>
          <w:color w:val="00B0F0"/>
        </w:rPr>
        <w:instrText>dant and anticarcinogenic potentials of propolis for dimethylhydrazine</w:instrText>
      </w:r>
      <w:r w:rsidR="00586342">
        <w:rPr>
          <w:rFonts w:asciiTheme="majorBidi" w:eastAsia="STIX-Regular" w:hAnsiTheme="majorBidi" w:cstheme="majorBidi" w:hint="eastAsia"/>
          <w:color w:val="00B0F0"/>
        </w:rPr>
        <w:instrText>‐</w:instrText>
      </w:r>
      <w:r w:rsidR="00586342">
        <w:rPr>
          <w:rFonts w:asciiTheme="majorBidi" w:eastAsia="STIX-Regular" w:hAnsiTheme="majorBidi" w:cstheme="majorBidi" w:hint="eastAsia"/>
          <w:color w:val="00B0F0"/>
        </w:rPr>
        <w:instrText>induced colorectal cancer in Wistar rats&lt;/title&gt;&lt;secondary-title&gt;BioMed Research International&lt;/secondary-title&gt;&lt;/titles&gt;&lt;periodical&gt;&lt;full-title&gt;BioMed Research International&lt;/full-tit</w:instrText>
      </w:r>
      <w:r w:rsidR="00586342">
        <w:rPr>
          <w:rFonts w:asciiTheme="majorBidi" w:eastAsia="STIX-Regular" w:hAnsiTheme="majorBidi" w:cstheme="majorBidi"/>
          <w:color w:val="00B0F0"/>
        </w:rPr>
        <w:instrText>le&gt;&lt;/periodical&gt;&lt;pages&gt;8497562&lt;/pages&gt;&lt;volume&gt;2022&lt;/volume&gt;&lt;number&gt;1&lt;/number&gt;&lt;dates&gt;&lt;year&gt;2022&lt;/year&gt;&lt;/dates&gt;&lt;isbn&gt;2314-6141&lt;/isbn&gt;&lt;urls&gt;&lt;/urls&gt;&lt;/record&gt;&lt;/Cite&gt;&lt;/EndNote&gt;</w:instrText>
      </w:r>
      <w:r w:rsidRPr="009E19DD">
        <w:rPr>
          <w:rFonts w:asciiTheme="majorBidi" w:eastAsia="STIX-Regular" w:hAnsiTheme="majorBidi" w:cstheme="majorBidi"/>
          <w:color w:val="00B0F0"/>
        </w:rPr>
        <w:fldChar w:fldCharType="separate"/>
      </w:r>
      <w:r w:rsidR="00586342">
        <w:rPr>
          <w:rFonts w:asciiTheme="majorBidi" w:eastAsia="STIX-Regular" w:hAnsiTheme="majorBidi" w:cstheme="majorBidi"/>
          <w:noProof/>
          <w:color w:val="00B0F0"/>
        </w:rPr>
        <w:t>[</w:t>
      </w:r>
      <w:r w:rsidR="00F17477">
        <w:rPr>
          <w:rFonts w:asciiTheme="majorBidi" w:eastAsia="STIX-Regular" w:hAnsiTheme="majorBidi" w:cstheme="majorBidi"/>
          <w:noProof/>
          <w:color w:val="00B0F0"/>
        </w:rPr>
        <w:t>25</w:t>
      </w:r>
      <w:r w:rsidR="00586342">
        <w:rPr>
          <w:rFonts w:asciiTheme="majorBidi" w:eastAsia="STIX-Regular" w:hAnsiTheme="majorBidi" w:cstheme="majorBidi"/>
          <w:noProof/>
          <w:color w:val="00B0F0"/>
        </w:rPr>
        <w:t>]</w:t>
      </w:r>
      <w:r w:rsidRPr="009E19DD">
        <w:rPr>
          <w:rFonts w:asciiTheme="majorBidi" w:eastAsia="STIX-Regular" w:hAnsiTheme="majorBidi" w:cstheme="majorBidi"/>
          <w:color w:val="00B0F0"/>
        </w:rPr>
        <w:fldChar w:fldCharType="end"/>
      </w:r>
      <w:r w:rsidRPr="009E19DD">
        <w:rPr>
          <w:rFonts w:asciiTheme="majorBidi" w:eastAsia="STIX-Regular" w:hAnsiTheme="majorBidi" w:cstheme="majorBidi"/>
          <w:color w:val="00B0F0"/>
        </w:rPr>
        <w:t xml:space="preserve"> </w:t>
      </w:r>
      <w:r w:rsidRPr="009E19DD">
        <w:rPr>
          <w:rFonts w:asciiTheme="majorBidi" w:eastAsia="STIX-Regular" w:hAnsiTheme="majorBidi" w:cstheme="majorBidi"/>
          <w:color w:val="000000" w:themeColor="text1"/>
        </w:rPr>
        <w:t xml:space="preserve">discovered that all groups' platelet counts, neutrophil percentages, lymphocyte percentages, and total WBC were measured. When compared to the control group, the DMH group's total WBC counts significantly increased (P &lt; 0:05), but the EEP-exposed group's WBC counts dramatically decreased (P &lt; 0:05). The percentage of neutrophils increased in the DMH group. Also agree with </w:t>
      </w:r>
      <w:r w:rsidRPr="009E19DD">
        <w:rPr>
          <w:rFonts w:asciiTheme="majorBidi" w:eastAsia="STIX-Regular" w:hAnsiTheme="majorBidi" w:cstheme="majorBidi"/>
          <w:color w:val="00B0F0"/>
        </w:rPr>
        <w:fldChar w:fldCharType="begin"/>
      </w:r>
      <w:r w:rsidR="00586342">
        <w:rPr>
          <w:rFonts w:asciiTheme="majorBidi" w:eastAsia="STIX-Regular" w:hAnsiTheme="majorBidi" w:cstheme="majorBidi"/>
          <w:color w:val="00B0F0"/>
        </w:rPr>
        <w:instrText xml:space="preserve"> ADDIN EN.CITE &lt;EndNote&gt;&lt;Cite ExcludeAuth="1"&gt;&lt;Author&gt;Sala&lt;/Author&gt;&lt;Year&gt;2023&lt;/Year&gt;&lt;RecNum&gt;39&lt;/RecNum&gt;&lt;DisplayText&gt;[34]&lt;/DisplayText&gt;&lt;record&gt;&lt;rec-number&gt;39&lt;/rec-number&gt;&lt;foreign-keys&gt;&lt;key app="EN" db-id="p50etfvw0vx2rxeas51ppx2udswf5rra0x99" timestamp="1767153947"&gt;39&lt;/key&gt;&lt;/foreign-keys&gt;&lt;ref-type name="Journal Article"&gt;17&lt;/ref-type&gt;&lt;contributors&gt;&lt;authors&gt;&lt;author&gt;Sala, Rafael J&lt;/author&gt;&lt;author&gt;Ery, John&lt;/author&gt;&lt;author&gt;Cuesta-Peredo, David&lt;/author&gt;&lt;author&gt;Muedra, Vicente&lt;/author&gt;&lt;author&gt;Rodilla, Vicent&lt;/author&gt;&lt;/authors&gt;&lt;/contributors&gt;&lt;titles&gt;&lt;title&gt;Complete blood count alterations prior to the diagnosis of colorectal cancer may help in the detection of synchronous liver metastases&lt;/title&gt;&lt;secondary-title&gt;Journal of Clinical Medicine&lt;/secondary-title&gt;&lt;/titles&gt;&lt;periodical&gt;&lt;full-title&gt;Journal of Clinical Medicine&lt;/full-title&gt;&lt;/periodical&gt;&lt;pages&gt;6540&lt;/pages&gt;&lt;volume&gt;12&lt;/volume&gt;&lt;number&gt;20&lt;/number&gt;&lt;dates&gt;&lt;year&gt;2023&lt;/year&gt;&lt;/dates&gt;&lt;isbn&gt;2077-0383&lt;/isbn&gt;&lt;urls&gt;&lt;/urls&gt;&lt;/record&gt;&lt;/Cite&gt;&lt;/EndNote&gt;</w:instrText>
      </w:r>
      <w:r w:rsidRPr="009E19DD">
        <w:rPr>
          <w:rFonts w:asciiTheme="majorBidi" w:eastAsia="STIX-Regular" w:hAnsiTheme="majorBidi" w:cstheme="majorBidi"/>
          <w:color w:val="00B0F0"/>
        </w:rPr>
        <w:fldChar w:fldCharType="separate"/>
      </w:r>
      <w:r w:rsidR="00586342">
        <w:rPr>
          <w:rFonts w:asciiTheme="majorBidi" w:eastAsia="STIX-Regular" w:hAnsiTheme="majorBidi" w:cstheme="majorBidi"/>
          <w:noProof/>
          <w:color w:val="00B0F0"/>
        </w:rPr>
        <w:t>[</w:t>
      </w:r>
      <w:r w:rsidR="00B55711">
        <w:rPr>
          <w:rFonts w:asciiTheme="majorBidi" w:eastAsia="STIX-Regular" w:hAnsiTheme="majorBidi" w:cstheme="majorBidi"/>
          <w:noProof/>
          <w:color w:val="00B0F0"/>
        </w:rPr>
        <w:t>27</w:t>
      </w:r>
      <w:r w:rsidR="00586342">
        <w:rPr>
          <w:rFonts w:asciiTheme="majorBidi" w:eastAsia="STIX-Regular" w:hAnsiTheme="majorBidi" w:cstheme="majorBidi"/>
          <w:noProof/>
          <w:color w:val="00B0F0"/>
        </w:rPr>
        <w:t>]</w:t>
      </w:r>
      <w:r w:rsidRPr="009E19DD">
        <w:rPr>
          <w:rFonts w:asciiTheme="majorBidi" w:eastAsia="STIX-Regular" w:hAnsiTheme="majorBidi" w:cstheme="majorBidi"/>
          <w:color w:val="00B0F0"/>
        </w:rPr>
        <w:fldChar w:fldCharType="end"/>
      </w:r>
      <w:r w:rsidRPr="009E19DD">
        <w:rPr>
          <w:rFonts w:asciiTheme="majorBidi" w:eastAsia="STIX-Regular" w:hAnsiTheme="majorBidi" w:cstheme="majorBidi"/>
          <w:color w:val="000000" w:themeColor="text1"/>
        </w:rPr>
        <w:t xml:space="preserve"> </w:t>
      </w:r>
      <w:r w:rsidRPr="009E19DD">
        <w:rPr>
          <w:rFonts w:asciiTheme="majorBidi" w:hAnsiTheme="majorBidi" w:cstheme="majorBidi"/>
        </w:rPr>
        <w:t xml:space="preserve"> reported that a linear regression analysis was performed for both groups and both sexes to examine the development of CBC up to diagnosis. The research showed that RDW levels rose while Hb, RBC, MCV, MCH, and MCHC values gradually decreased. </w:t>
      </w:r>
      <w:bookmarkStart w:id="7" w:name="_Hlk217968060"/>
    </w:p>
    <w:p w14:paraId="09E29717" w14:textId="6DFA201D" w:rsidR="005904C8" w:rsidRPr="009E19DD" w:rsidRDefault="005904C8" w:rsidP="003B735A">
      <w:pPr>
        <w:autoSpaceDE w:val="0"/>
        <w:autoSpaceDN w:val="0"/>
        <w:adjustRightInd w:val="0"/>
        <w:jc w:val="both"/>
        <w:rPr>
          <w:rFonts w:asciiTheme="majorBidi" w:eastAsia="STIX-Regular" w:hAnsiTheme="majorBidi" w:cstheme="majorBidi"/>
        </w:rPr>
      </w:pPr>
      <w:r w:rsidRPr="009E19DD">
        <w:rPr>
          <w:rFonts w:asciiTheme="majorBidi" w:eastAsia="STIX-Regular" w:hAnsiTheme="majorBidi" w:cstheme="majorBidi"/>
          <w:color w:val="000000"/>
        </w:rPr>
        <w:t xml:space="preserve">Despite the higher Monocytes levels in DMH groups, there was no significant difference noticed between groups. Using </w:t>
      </w:r>
      <w:r w:rsidRPr="009E19DD">
        <w:rPr>
          <w:rFonts w:asciiTheme="majorBidi" w:eastAsia="STIX-Regular" w:hAnsiTheme="majorBidi" w:cstheme="majorBidi"/>
          <w:i/>
          <w:iCs/>
          <w:color w:val="000000"/>
        </w:rPr>
        <w:t>VRLE</w:t>
      </w:r>
      <w:r w:rsidRPr="009E19DD">
        <w:rPr>
          <w:rFonts w:asciiTheme="majorBidi" w:eastAsia="STIX-Regular" w:hAnsiTheme="majorBidi" w:cstheme="majorBidi"/>
          <w:color w:val="000000"/>
        </w:rPr>
        <w:t xml:space="preserve"> in treated groups lead to decrease level of Monocytes.  These results are compatible with those </w:t>
      </w:r>
      <w:bookmarkEnd w:id="7"/>
      <w:r w:rsidRPr="009E19DD">
        <w:rPr>
          <w:rFonts w:asciiTheme="majorBidi" w:eastAsia="STIX-Regular" w:hAnsiTheme="majorBidi" w:cstheme="majorBidi"/>
          <w:color w:val="00B0F0"/>
        </w:rPr>
        <w:fldChar w:fldCharType="begin"/>
      </w:r>
      <w:r w:rsidR="00586342">
        <w:rPr>
          <w:rFonts w:asciiTheme="majorBidi" w:eastAsia="STIX-Regular" w:hAnsiTheme="majorBidi" w:cstheme="majorBidi"/>
          <w:color w:val="00B0F0"/>
        </w:rPr>
        <w:instrText xml:space="preserve"> ADDIN EN.CITE &lt;EndNote&gt;&lt;Cite ExcludeAuth="1"&gt;&lt;Author&gt;Gupta&lt;/Author&gt;&lt;Year&gt;2016&lt;/Year&gt;&lt;RecNum&gt;37&lt;/RecNum&gt;&lt;DisplayText&gt;[35]&lt;/DisplayText&gt;&lt;record&gt;&lt;rec-number&gt;37&lt;/rec-number&gt;&lt;foreign-keys&gt;&lt;key app="EN" db-id="p50etfvw0vx2rxeas51ppx2udswf5rra0x99" timestamp="1767067006"&gt;37&lt;/key&gt;&lt;/foreign-keys&gt;&lt;ref-type name="Journal Article"&gt;17&lt;/ref-type&gt;&lt;contributors&gt;&lt;authors&gt;&lt;author&gt;Gupta, AMIT&lt;/author&gt;&lt;author&gt;Shah, ANKIT P&lt;/author&gt;&lt;author&gt;Chaphalkar, SUSHAMA R&lt;/author&gt;&lt;/authors&gt;&lt;/contributors&gt;&lt;titles&gt;&lt;title&gt;Flow cytometric preliminary evaluation of immunosuppressive and cytotoxic effect of Catharanthus roseus on human whole blood&lt;/title&gt;&lt;secondary-title&gt;Journal of International research in Medical and Pharmaceutical Sciences&lt;/secondary-title&gt;&lt;/titles&gt;&lt;periodical&gt;&lt;full-title&gt;Journal of International research in Medical and Pharmaceutical Sciences&lt;/full-title&gt;&lt;/periodical&gt;&lt;pages&gt;11-16&lt;/pages&gt;&lt;volume&gt;8&lt;/volume&gt;&lt;number&gt;1&lt;/number&gt;&lt;dates&gt;&lt;year&gt;2016&lt;/year&gt;&lt;/dates&gt;&lt;urls&gt;&lt;/urls&gt;&lt;/record&gt;&lt;/Cite&gt;&lt;/EndNote&gt;</w:instrText>
      </w:r>
      <w:r w:rsidRPr="009E19DD">
        <w:rPr>
          <w:rFonts w:asciiTheme="majorBidi" w:eastAsia="STIX-Regular" w:hAnsiTheme="majorBidi" w:cstheme="majorBidi"/>
          <w:color w:val="00B0F0"/>
        </w:rPr>
        <w:fldChar w:fldCharType="separate"/>
      </w:r>
      <w:r w:rsidR="00586342">
        <w:rPr>
          <w:rFonts w:asciiTheme="majorBidi" w:eastAsia="STIX-Regular" w:hAnsiTheme="majorBidi" w:cstheme="majorBidi"/>
          <w:noProof/>
          <w:color w:val="00B0F0"/>
        </w:rPr>
        <w:t>[</w:t>
      </w:r>
      <w:r w:rsidR="00B55711">
        <w:rPr>
          <w:rFonts w:asciiTheme="majorBidi" w:eastAsia="STIX-Regular" w:hAnsiTheme="majorBidi" w:cstheme="majorBidi"/>
          <w:noProof/>
          <w:color w:val="00B0F0"/>
        </w:rPr>
        <w:t>28</w:t>
      </w:r>
      <w:r w:rsidR="00586342">
        <w:rPr>
          <w:rFonts w:asciiTheme="majorBidi" w:eastAsia="STIX-Regular" w:hAnsiTheme="majorBidi" w:cstheme="majorBidi"/>
          <w:noProof/>
          <w:color w:val="00B0F0"/>
        </w:rPr>
        <w:t>]</w:t>
      </w:r>
      <w:r w:rsidRPr="009E19DD">
        <w:rPr>
          <w:rFonts w:asciiTheme="majorBidi" w:eastAsia="STIX-Regular" w:hAnsiTheme="majorBidi" w:cstheme="majorBidi"/>
          <w:color w:val="00B0F0"/>
        </w:rPr>
        <w:fldChar w:fldCharType="end"/>
      </w:r>
      <w:r w:rsidRPr="009E19DD">
        <w:rPr>
          <w:rFonts w:asciiTheme="majorBidi" w:eastAsia="STIX-Regular" w:hAnsiTheme="majorBidi" w:cstheme="majorBidi"/>
          <w:color w:val="00B0F0"/>
        </w:rPr>
        <w:t xml:space="preserve"> </w:t>
      </w:r>
      <w:r w:rsidRPr="009E19DD">
        <w:rPr>
          <w:rFonts w:asciiTheme="majorBidi" w:eastAsia="STIX-Regular" w:hAnsiTheme="majorBidi" w:cstheme="majorBidi"/>
        </w:rPr>
        <w:t xml:space="preserve">found that </w:t>
      </w:r>
      <w:r w:rsidR="00B26652">
        <w:rPr>
          <w:rFonts w:asciiTheme="majorBidi" w:eastAsia="STIX-Regular" w:hAnsiTheme="majorBidi" w:cstheme="majorBidi"/>
          <w:i/>
          <w:iCs/>
        </w:rPr>
        <w:t>V</w:t>
      </w:r>
      <w:r w:rsidRPr="009E19DD">
        <w:rPr>
          <w:rFonts w:asciiTheme="majorBidi" w:eastAsia="STIX-Regular" w:hAnsiTheme="majorBidi" w:cstheme="majorBidi"/>
          <w:i/>
          <w:iCs/>
        </w:rPr>
        <w:t>. roseus</w:t>
      </w:r>
      <w:r w:rsidRPr="009E19DD">
        <w:rPr>
          <w:rFonts w:asciiTheme="majorBidi" w:eastAsia="STIX-Regular" w:hAnsiTheme="majorBidi" w:cstheme="majorBidi"/>
        </w:rPr>
        <w:t xml:space="preserve"> may be used to screen human whole blood using flow cytometry for immunosuppressive and cytotoxic effects. Hepatitis B vaccine antigen was used in varying doses of </w:t>
      </w:r>
      <w:r w:rsidR="00890AAE">
        <w:rPr>
          <w:rFonts w:asciiTheme="majorBidi" w:eastAsia="STIX-Regular" w:hAnsiTheme="majorBidi" w:cstheme="majorBidi"/>
          <w:i/>
          <w:iCs/>
        </w:rPr>
        <w:t>V</w:t>
      </w:r>
      <w:r w:rsidRPr="009E19DD">
        <w:rPr>
          <w:rFonts w:asciiTheme="majorBidi" w:eastAsia="STIX-Regular" w:hAnsiTheme="majorBidi" w:cstheme="majorBidi"/>
          <w:i/>
          <w:iCs/>
        </w:rPr>
        <w:t>. roseus</w:t>
      </w:r>
      <w:r w:rsidRPr="009E19DD">
        <w:rPr>
          <w:rFonts w:asciiTheme="majorBidi" w:eastAsia="STIX-Regular" w:hAnsiTheme="majorBidi" w:cstheme="majorBidi"/>
        </w:rPr>
        <w:t xml:space="preserve"> aqueous leaf extract to measure blood counts (lymphocyte, monocyte, and granulocyte counts). The findings demonstrated that, in comparison to the control, </w:t>
      </w:r>
      <w:r w:rsidR="00890AAE">
        <w:rPr>
          <w:rFonts w:asciiTheme="majorBidi" w:eastAsia="STIX-Regular" w:hAnsiTheme="majorBidi" w:cstheme="majorBidi"/>
          <w:i/>
          <w:iCs/>
        </w:rPr>
        <w:t>V</w:t>
      </w:r>
      <w:r w:rsidRPr="009E19DD">
        <w:rPr>
          <w:rFonts w:asciiTheme="majorBidi" w:eastAsia="STIX-Regular" w:hAnsiTheme="majorBidi" w:cstheme="majorBidi"/>
          <w:i/>
          <w:iCs/>
        </w:rPr>
        <w:t>. roseus</w:t>
      </w:r>
      <w:r w:rsidRPr="009E19DD">
        <w:rPr>
          <w:rFonts w:asciiTheme="majorBidi" w:eastAsia="STIX-Regular" w:hAnsiTheme="majorBidi" w:cstheme="majorBidi"/>
        </w:rPr>
        <w:t xml:space="preserve"> exhibited a dose-dependent decrease in the number of monocytes and granulocytes when the hepatitis B vaccination antigen was present. </w:t>
      </w:r>
    </w:p>
    <w:p w14:paraId="54CAFBBC" w14:textId="77777777" w:rsidR="005904C8" w:rsidRPr="009E19DD" w:rsidRDefault="005904C8" w:rsidP="00350DDE">
      <w:pPr>
        <w:autoSpaceDE w:val="0"/>
        <w:autoSpaceDN w:val="0"/>
        <w:adjustRightInd w:val="0"/>
        <w:ind w:firstLine="720"/>
        <w:jc w:val="both"/>
        <w:rPr>
          <w:rFonts w:asciiTheme="majorBidi" w:hAnsiTheme="majorBidi" w:cstheme="majorBidi"/>
        </w:rPr>
      </w:pPr>
      <w:r w:rsidRPr="009E19DD">
        <w:rPr>
          <w:rFonts w:asciiTheme="majorBidi" w:hAnsiTheme="majorBidi" w:cstheme="majorBidi"/>
        </w:rPr>
        <w:t>In the present study, shows no eosinophils and basophils detected in any group.</w:t>
      </w:r>
    </w:p>
    <w:p w14:paraId="0A2845D9" w14:textId="3F8FD36A" w:rsidR="005904C8" w:rsidRDefault="005904C8" w:rsidP="003B735A">
      <w:pPr>
        <w:jc w:val="both"/>
        <w:rPr>
          <w:rFonts w:asciiTheme="majorBidi" w:hAnsiTheme="majorBidi" w:cstheme="majorBidi"/>
          <w:noProof/>
        </w:rPr>
      </w:pPr>
      <w:r w:rsidRPr="009E19DD">
        <w:rPr>
          <w:rFonts w:asciiTheme="majorBidi" w:hAnsiTheme="majorBidi" w:cstheme="majorBidi"/>
          <w:noProof/>
        </w:rPr>
        <w:t xml:space="preserve">These data are different with some studies,  such as </w:t>
      </w:r>
      <w:r w:rsidRPr="009E19DD">
        <w:rPr>
          <w:rFonts w:asciiTheme="majorBidi" w:hAnsiTheme="majorBidi" w:cstheme="majorBidi"/>
          <w:noProof/>
          <w:color w:val="00B0F0"/>
        </w:rPr>
        <w:fldChar w:fldCharType="begin"/>
      </w:r>
      <w:r w:rsidR="00B26652">
        <w:rPr>
          <w:rFonts w:asciiTheme="majorBidi" w:hAnsiTheme="majorBidi" w:cstheme="majorBidi"/>
          <w:noProof/>
          <w:color w:val="00B0F0"/>
        </w:rPr>
        <w:instrText xml:space="preserve"> ADDIN EN.CITE &lt;EndNote&gt;&lt;Cite AuthorYear="1"&gt;&lt;Author&gt;Byelinska&lt;/Author&gt;&lt;Year&gt;2015&lt;/Year&gt;&lt;RecNum&gt;41&lt;/RecNum&gt;&lt;DisplayText&gt;[36]&lt;/DisplayText&gt;&lt;record&gt;&lt;rec-number&gt;41&lt;/rec-number&gt;&lt;foreign-keys&gt;&lt;key app="EN" db-id="p50etfvw0vx2rxeas51ppx2udswf5rra0x99" timestamp="1767327919"&gt;41&lt;/key&gt;&lt;/foreign-keys&gt;&lt;ref-type name="Journal Article"&gt;17&lt;/ref-type&gt;&lt;contributors&gt;&lt;authors&gt;&lt;author&gt;Byelinska, IV&lt;/author&gt;&lt;author&gt;Lynchak, OV&lt;/author&gt;&lt;author&gt;Rybalchenko, TV&lt;/author&gt;&lt;author&gt;Yablonska, SV&lt;/author&gt;&lt;author&gt;Bahurynska, OM&lt;/author&gt;&lt;author&gt;Rybalchenko, VK&lt;/author&gt;&lt;/authors&gt;&lt;/contributors&gt;&lt;titles&gt;&lt;title&gt;Morphofunctional parameters of blood cells of a rat with 1, 2-dimethylhydrazine-induced colon carcinogenesis&lt;/title&gt;&lt;secondary-title&gt;Cytology and Genetics&lt;/secondary-title&gt;&lt;/titles&gt;&lt;periodical&gt;&lt;full-title&gt;Cytology and Genetics&lt;/full-title&gt;&lt;/periodical&gt;&lt;pages&gt;158-164&lt;/pages&gt;&lt;volume&gt;49&lt;/volume&gt;&lt;number&gt;3&lt;/number&gt;&lt;dates&gt;&lt;year&gt;2015&lt;/year&gt;&lt;/dates&gt;&lt;isbn&gt;0095-4527&lt;/isbn&gt;&lt;urls&gt;&lt;/urls&gt;&lt;/record&gt;&lt;/Cite&gt;&lt;/EndNote&gt;</w:instrText>
      </w:r>
      <w:r w:rsidRPr="009E19DD">
        <w:rPr>
          <w:rFonts w:asciiTheme="majorBidi" w:hAnsiTheme="majorBidi" w:cstheme="majorBidi"/>
          <w:noProof/>
          <w:color w:val="00B0F0"/>
        </w:rPr>
        <w:fldChar w:fldCharType="separate"/>
      </w:r>
      <w:r w:rsidR="00586342">
        <w:rPr>
          <w:rFonts w:asciiTheme="majorBidi" w:hAnsiTheme="majorBidi" w:cstheme="majorBidi"/>
          <w:noProof/>
          <w:color w:val="00B0F0"/>
        </w:rPr>
        <w:t>[</w:t>
      </w:r>
      <w:r w:rsidR="00B55711">
        <w:rPr>
          <w:rFonts w:asciiTheme="majorBidi" w:hAnsiTheme="majorBidi" w:cstheme="majorBidi"/>
          <w:noProof/>
          <w:color w:val="00B0F0"/>
        </w:rPr>
        <w:t>29</w:t>
      </w:r>
      <w:r w:rsidR="00586342">
        <w:rPr>
          <w:rFonts w:asciiTheme="majorBidi" w:hAnsiTheme="majorBidi" w:cstheme="majorBidi"/>
          <w:noProof/>
          <w:color w:val="00B0F0"/>
        </w:rPr>
        <w:t>]</w:t>
      </w:r>
      <w:r w:rsidRPr="009E19DD">
        <w:rPr>
          <w:rFonts w:asciiTheme="majorBidi" w:hAnsiTheme="majorBidi" w:cstheme="majorBidi"/>
          <w:noProof/>
          <w:color w:val="00B0F0"/>
        </w:rPr>
        <w:fldChar w:fldCharType="end"/>
      </w:r>
      <w:r w:rsidRPr="009E19DD">
        <w:rPr>
          <w:rFonts w:asciiTheme="majorBidi" w:hAnsiTheme="majorBidi" w:cstheme="majorBidi"/>
          <w:noProof/>
          <w:color w:val="00B0F0"/>
        </w:rPr>
        <w:t xml:space="preserve"> </w:t>
      </w:r>
      <w:r w:rsidRPr="009E19DD">
        <w:rPr>
          <w:rFonts w:asciiTheme="majorBidi" w:hAnsiTheme="majorBidi" w:cstheme="majorBidi"/>
          <w:noProof/>
          <w:color w:val="000000" w:themeColor="text1"/>
        </w:rPr>
        <w:t xml:space="preserve">observed that after 20 weeks of colon carcinogenesis during DMH introduction, our results demonstrated a significant increase in the proportion and absolute number of eosinophilic granulocytes. </w:t>
      </w:r>
      <w:r w:rsidRPr="009E19DD">
        <w:rPr>
          <w:rFonts w:asciiTheme="majorBidi" w:hAnsiTheme="majorBidi" w:cstheme="majorBidi"/>
          <w:noProof/>
        </w:rPr>
        <w:t xml:space="preserve">And those </w:t>
      </w:r>
      <w:r w:rsidRPr="009E19DD">
        <w:rPr>
          <w:rFonts w:asciiTheme="majorBidi" w:hAnsiTheme="majorBidi" w:cstheme="majorBidi"/>
          <w:noProof/>
          <w:color w:val="00B0F0"/>
        </w:rPr>
        <w:fldChar w:fldCharType="begin"/>
      </w:r>
      <w:r w:rsidR="00586342">
        <w:rPr>
          <w:rFonts w:asciiTheme="majorBidi" w:hAnsiTheme="majorBidi" w:cstheme="majorBidi"/>
          <w:noProof/>
          <w:color w:val="00B0F0"/>
        </w:rPr>
        <w:instrText xml:space="preserve"> ADDIN EN.CITE &lt;EndNote&gt;&lt;Cite ExcludeAuth="1"&gt;&lt;Author&gt;Los&lt;/Author&gt;&lt;Year&gt;2025&lt;/Year&gt;&lt;RecNum&gt;42&lt;/RecNum&gt;&lt;DisplayText&gt;[30]&lt;/DisplayText&gt;&lt;record&gt;&lt;rec-number&gt;42&lt;/rec-number&gt;&lt;foreign-keys&gt;&lt;key app="EN" db-id="p50etfvw0vx2rxeas51ppx2udswf5rra0x99" timestamp="1767328205"&gt;42&lt;/key&gt;&lt;/foreign-keys&gt;&lt;ref-type name="Journal Article"&gt;17&lt;/ref-type&gt;&lt;contributors&gt;&lt;authors&gt;&lt;author&gt;Los, Bruna&lt;/author&gt;&lt;author&gt;Rocha, Bruno Aragão&lt;/author&gt;&lt;author&gt;da Silva, Daniel Noce&lt;/author&gt;&lt;author&gt;Ribeiro, Vinicius Moura&lt;/author&gt;&lt;author&gt;Kohara, Marco Aurelio&lt;/author&gt;&lt;author&gt;Rodrigues, Rodrigo Azevedo&lt;/author&gt;&lt;author&gt;Pintão, Maria Carolina Tostes&lt;/author&gt;&lt;author&gt;Pereira, Otavio Jose Eulalio&lt;/author&gt;&lt;author&gt;de Morais Malvezzi, João Vicente&lt;/author&gt;&lt;author&gt;da Silva, Flavia Helena&lt;/author&gt;&lt;/authors&gt;&lt;/contributors&gt;&lt;titles&gt;&lt;title&gt;AI-driven pre-screening for colorectal cancer using complete blood counts: toward broader population impact&lt;/title&gt;&lt;secondary-title&gt;International Journal of Colorectal Disease&lt;/secondary-title&gt;&lt;/titles&gt;&lt;periodical&gt;&lt;full-title&gt;International Journal of Colorectal Disease&lt;/full-title&gt;&lt;/periodical&gt;&lt;pages&gt;235&lt;/pages&gt;&lt;volume&gt;40&lt;/volume&gt;&lt;number&gt;1&lt;/number&gt;&lt;dates&gt;&lt;year&gt;2025&lt;/year&gt;&lt;/dates&gt;&lt;isbn&gt;1432-1262&lt;/isbn&gt;&lt;urls&gt;&lt;/urls&gt;&lt;/record&gt;&lt;/Cite&gt;&lt;/EndNote&gt;</w:instrText>
      </w:r>
      <w:r w:rsidRPr="009E19DD">
        <w:rPr>
          <w:rFonts w:asciiTheme="majorBidi" w:hAnsiTheme="majorBidi" w:cstheme="majorBidi"/>
          <w:noProof/>
          <w:color w:val="00B0F0"/>
        </w:rPr>
        <w:fldChar w:fldCharType="separate"/>
      </w:r>
      <w:r w:rsidR="00586342">
        <w:rPr>
          <w:rFonts w:asciiTheme="majorBidi" w:hAnsiTheme="majorBidi" w:cstheme="majorBidi"/>
          <w:noProof/>
          <w:color w:val="00B0F0"/>
        </w:rPr>
        <w:t>[</w:t>
      </w:r>
      <w:r w:rsidR="00F17477">
        <w:rPr>
          <w:rFonts w:asciiTheme="majorBidi" w:hAnsiTheme="majorBidi" w:cstheme="majorBidi"/>
          <w:noProof/>
          <w:color w:val="00B0F0"/>
        </w:rPr>
        <w:t>23</w:t>
      </w:r>
      <w:r w:rsidR="00586342">
        <w:rPr>
          <w:rFonts w:asciiTheme="majorBidi" w:hAnsiTheme="majorBidi" w:cstheme="majorBidi"/>
          <w:noProof/>
          <w:color w:val="00B0F0"/>
        </w:rPr>
        <w:t>]</w:t>
      </w:r>
      <w:r w:rsidRPr="009E19DD">
        <w:rPr>
          <w:rFonts w:asciiTheme="majorBidi" w:hAnsiTheme="majorBidi" w:cstheme="majorBidi"/>
          <w:noProof/>
          <w:color w:val="00B0F0"/>
        </w:rPr>
        <w:fldChar w:fldCharType="end"/>
      </w:r>
      <w:r w:rsidRPr="009E19DD">
        <w:rPr>
          <w:rFonts w:asciiTheme="majorBidi" w:hAnsiTheme="majorBidi" w:cstheme="majorBidi"/>
          <w:noProof/>
          <w:color w:val="00B0F0"/>
        </w:rPr>
        <w:t xml:space="preserve"> </w:t>
      </w:r>
      <w:r w:rsidRPr="009E19DD">
        <w:rPr>
          <w:rFonts w:asciiTheme="majorBidi" w:hAnsiTheme="majorBidi" w:cstheme="majorBidi"/>
          <w:noProof/>
        </w:rPr>
        <w:t>stated that, with the exception of lymphocytes, descriptive analysis showed significant differences between CRC cases and controls in the majority of CBC markers, CBC-derived ratios, and age (P&lt;0.001). CRC patients had higher amounts of platelets, leukocytes, monocytes, neutrophils, eosinophils, and red cell distribution width (RDW).</w:t>
      </w:r>
    </w:p>
    <w:p w14:paraId="7F0BDC2E" w14:textId="4C1D1C90" w:rsidR="00350DDE" w:rsidRPr="009E19DD" w:rsidRDefault="00350DDE" w:rsidP="00350DDE">
      <w:pPr>
        <w:ind w:firstLine="720"/>
        <w:jc w:val="both"/>
        <w:rPr>
          <w:rFonts w:asciiTheme="majorBidi" w:hAnsiTheme="majorBidi" w:cstheme="majorBidi"/>
          <w:noProof/>
        </w:rPr>
      </w:pPr>
      <w:r w:rsidRPr="00350DDE">
        <w:rPr>
          <w:rFonts w:asciiTheme="majorBidi" w:hAnsiTheme="majorBidi" w:cstheme="majorBidi"/>
          <w:noProof/>
        </w:rPr>
        <w:t xml:space="preserve">Despite these findings, this study has several limitations. The sample size was relatively small, and only male Wistar rats were used, which may limit the generalizability of the results. Additionally, the study focused on selected hematological markers, and other </w:t>
      </w:r>
      <w:r w:rsidRPr="00350DDE">
        <w:rPr>
          <w:rFonts w:asciiTheme="majorBidi" w:hAnsiTheme="majorBidi" w:cstheme="majorBidi"/>
          <w:noProof/>
        </w:rPr>
        <w:t xml:space="preserve">potential biomarkers were not assessed. Future studies with larger sample sizes, inclusion of both sexes, and more comprehensive analyses are warranted to further validate the effects of </w:t>
      </w:r>
      <w:r w:rsidRPr="0052069A">
        <w:rPr>
          <w:rFonts w:asciiTheme="majorBidi" w:hAnsiTheme="majorBidi" w:cstheme="majorBidi"/>
          <w:i/>
          <w:iCs/>
          <w:noProof/>
        </w:rPr>
        <w:t>Vinca roseus</w:t>
      </w:r>
      <w:r w:rsidRPr="00350DDE">
        <w:rPr>
          <w:rFonts w:asciiTheme="majorBidi" w:hAnsiTheme="majorBidi" w:cstheme="majorBidi"/>
          <w:noProof/>
        </w:rPr>
        <w:t xml:space="preserve"> leaf extract</w:t>
      </w:r>
      <w:r>
        <w:rPr>
          <w:rFonts w:asciiTheme="majorBidi" w:hAnsiTheme="majorBidi" w:cstheme="majorBidi"/>
          <w:noProof/>
        </w:rPr>
        <w:t>.</w:t>
      </w:r>
    </w:p>
    <w:bookmarkEnd w:id="5"/>
    <w:p w14:paraId="78939307" w14:textId="77777777" w:rsidR="002E2C50" w:rsidRPr="007240F6" w:rsidRDefault="002E2C50" w:rsidP="003B735A">
      <w:pPr>
        <w:spacing w:before="120" w:after="120"/>
        <w:jc w:val="both"/>
        <w:rPr>
          <w:rFonts w:asciiTheme="majorBidi" w:hAnsiTheme="majorBidi" w:cstheme="majorBidi"/>
          <w:b/>
          <w:bCs/>
        </w:rPr>
      </w:pPr>
      <w:r w:rsidRPr="00DD1D1A">
        <w:rPr>
          <w:rFonts w:asciiTheme="majorBidi" w:hAnsiTheme="majorBidi" w:cstheme="majorBidi"/>
          <w:b/>
          <w:bCs/>
          <w:u w:val="single"/>
        </w:rPr>
        <w:t>Conclusion</w:t>
      </w:r>
    </w:p>
    <w:p w14:paraId="2574A98B" w14:textId="67245CB4" w:rsidR="00086B5A" w:rsidRPr="009E19DD" w:rsidRDefault="008F7E68" w:rsidP="00890AAE">
      <w:pPr>
        <w:ind w:firstLine="720"/>
        <w:jc w:val="both"/>
        <w:rPr>
          <w:rFonts w:asciiTheme="majorBidi" w:hAnsiTheme="majorBidi" w:cstheme="majorBidi"/>
          <w:noProof/>
        </w:rPr>
      </w:pPr>
      <w:r>
        <w:rPr>
          <w:rFonts w:asciiTheme="majorBidi" w:hAnsiTheme="majorBidi" w:cstheme="majorBidi"/>
          <w:noProof/>
        </w:rPr>
        <w:t>T</w:t>
      </w:r>
      <w:r w:rsidRPr="008F7E68">
        <w:rPr>
          <w:rFonts w:asciiTheme="majorBidi" w:hAnsiTheme="majorBidi" w:cstheme="majorBidi"/>
          <w:noProof/>
        </w:rPr>
        <w:t xml:space="preserve">he present study demonstrated that </w:t>
      </w:r>
      <w:r w:rsidRPr="0052069A">
        <w:rPr>
          <w:rFonts w:asciiTheme="majorBidi" w:hAnsiTheme="majorBidi" w:cstheme="majorBidi"/>
          <w:i/>
          <w:iCs/>
          <w:noProof/>
        </w:rPr>
        <w:t>Vinca roseus</w:t>
      </w:r>
      <w:r w:rsidRPr="008F7E68">
        <w:rPr>
          <w:rFonts w:asciiTheme="majorBidi" w:hAnsiTheme="majorBidi" w:cstheme="majorBidi"/>
          <w:noProof/>
        </w:rPr>
        <w:t xml:space="preserve"> leaf extract exerts a protective effect against DMH-induced colorectal cancer in rats, potentially enhancing the efficacy and safety of 5-FU treatment. These findings support the therapeutic potential of the extract as an adjunct treatment. Future studies should investigate the long-term effects, optimal dosing, and underlying molecular mechanisms to further validate its clinical applicability.”</w:t>
      </w:r>
    </w:p>
    <w:p w14:paraId="777FC19E" w14:textId="77777777" w:rsidR="00086B5A" w:rsidRPr="00086B5A" w:rsidRDefault="00086B5A" w:rsidP="003B735A">
      <w:pPr>
        <w:rPr>
          <w:rFonts w:asciiTheme="majorBidi" w:hAnsiTheme="majorBidi" w:cstheme="majorBidi"/>
          <w:b/>
          <w:bCs/>
          <w:i/>
          <w:iCs/>
          <w:noProof/>
        </w:rPr>
      </w:pPr>
      <w:r w:rsidRPr="00086B5A">
        <w:rPr>
          <w:rFonts w:asciiTheme="majorBidi" w:hAnsiTheme="majorBidi" w:cstheme="majorBidi"/>
          <w:b/>
          <w:bCs/>
          <w:i/>
          <w:iCs/>
          <w:noProof/>
        </w:rPr>
        <w:t xml:space="preserve">Acknowledgments </w:t>
      </w:r>
    </w:p>
    <w:p w14:paraId="7B33AFA0" w14:textId="77777777" w:rsidR="00086B5A" w:rsidRPr="00A81FD5" w:rsidRDefault="00086B5A" w:rsidP="003B735A">
      <w:pPr>
        <w:ind w:firstLine="720"/>
        <w:rPr>
          <w:rFonts w:asciiTheme="majorBidi" w:hAnsiTheme="majorBidi" w:cstheme="majorBidi"/>
          <w:noProof/>
        </w:rPr>
      </w:pPr>
      <w:r w:rsidRPr="00A81FD5">
        <w:rPr>
          <w:rFonts w:asciiTheme="majorBidi" w:hAnsiTheme="majorBidi" w:cstheme="majorBidi"/>
          <w:noProof/>
        </w:rPr>
        <w:t xml:space="preserve">The author would like to thank: </w:t>
      </w:r>
    </w:p>
    <w:p w14:paraId="65F64918" w14:textId="1C9224EC" w:rsidR="00086B5A" w:rsidRPr="00A81FD5" w:rsidRDefault="00086B5A" w:rsidP="003B735A">
      <w:pPr>
        <w:rPr>
          <w:rFonts w:asciiTheme="majorBidi" w:hAnsiTheme="majorBidi" w:cstheme="majorBidi"/>
          <w:noProof/>
        </w:rPr>
      </w:pPr>
      <w:r w:rsidRPr="00A81FD5">
        <w:rPr>
          <w:rFonts w:asciiTheme="majorBidi" w:hAnsiTheme="majorBidi" w:cstheme="majorBidi"/>
          <w:noProof/>
        </w:rPr>
        <w:t xml:space="preserve">Prof. Dr. Abu-Bakr Mohamed EL-Mahmoudy, Professor and Head of Pharmacology department, Faculty of Veterinary Medicine, Benha University; for his valuable guidance, uninterrupted suggestions, encouragement and advice. I shall ever remain grateful to him. </w:t>
      </w:r>
    </w:p>
    <w:p w14:paraId="345F0160" w14:textId="77777777" w:rsidR="00086B5A" w:rsidRDefault="00086B5A" w:rsidP="003B735A">
      <w:pPr>
        <w:rPr>
          <w:rFonts w:asciiTheme="majorBidi" w:hAnsiTheme="majorBidi" w:cstheme="majorBidi"/>
          <w:noProof/>
        </w:rPr>
      </w:pPr>
      <w:r w:rsidRPr="00A81FD5">
        <w:rPr>
          <w:rFonts w:asciiTheme="majorBidi" w:hAnsiTheme="majorBidi" w:cstheme="majorBidi"/>
          <w:noProof/>
        </w:rPr>
        <w:t xml:space="preserve">             Dr. Mostafa Hamza Mohamed, professor of vegetable crops, Horticulture department, Faculty of agriculture, Benha University, for identification of the plant part used.</w:t>
      </w:r>
    </w:p>
    <w:p w14:paraId="17C84234" w14:textId="77777777" w:rsidR="00086B5A" w:rsidRPr="00086B5A" w:rsidRDefault="00086B5A" w:rsidP="003B735A">
      <w:pPr>
        <w:rPr>
          <w:rFonts w:asciiTheme="majorBidi" w:hAnsiTheme="majorBidi" w:cstheme="majorBidi"/>
          <w:b/>
          <w:bCs/>
          <w:i/>
          <w:iCs/>
          <w:noProof/>
        </w:rPr>
      </w:pPr>
      <w:r w:rsidRPr="00086B5A">
        <w:rPr>
          <w:rFonts w:asciiTheme="majorBidi" w:hAnsiTheme="majorBidi" w:cstheme="majorBidi"/>
          <w:b/>
          <w:bCs/>
          <w:i/>
          <w:iCs/>
          <w:noProof/>
        </w:rPr>
        <w:t xml:space="preserve">Funding </w:t>
      </w:r>
    </w:p>
    <w:p w14:paraId="78A0870D" w14:textId="77777777" w:rsidR="00086B5A" w:rsidRDefault="00086B5A" w:rsidP="003B735A">
      <w:pPr>
        <w:ind w:firstLine="720"/>
        <w:rPr>
          <w:rFonts w:asciiTheme="majorBidi" w:hAnsiTheme="majorBidi" w:cstheme="majorBidi"/>
          <w:noProof/>
        </w:rPr>
      </w:pPr>
      <w:r w:rsidRPr="00A81FD5">
        <w:rPr>
          <w:rFonts w:asciiTheme="majorBidi" w:hAnsiTheme="majorBidi" w:cstheme="majorBidi"/>
          <w:noProof/>
        </w:rPr>
        <w:t>No funding support for this study.</w:t>
      </w:r>
    </w:p>
    <w:p w14:paraId="12CA5F56" w14:textId="77777777" w:rsidR="00086B5A" w:rsidRPr="00086B5A" w:rsidRDefault="00086B5A" w:rsidP="003B735A">
      <w:pPr>
        <w:rPr>
          <w:rFonts w:asciiTheme="majorBidi" w:hAnsiTheme="majorBidi" w:cstheme="majorBidi"/>
          <w:b/>
          <w:bCs/>
          <w:i/>
          <w:iCs/>
          <w:noProof/>
        </w:rPr>
      </w:pPr>
      <w:r w:rsidRPr="00086B5A">
        <w:rPr>
          <w:rFonts w:asciiTheme="majorBidi" w:hAnsiTheme="majorBidi" w:cstheme="majorBidi"/>
          <w:b/>
          <w:bCs/>
          <w:i/>
          <w:iCs/>
          <w:noProof/>
        </w:rPr>
        <w:t xml:space="preserve">Conflicts of Interest </w:t>
      </w:r>
    </w:p>
    <w:p w14:paraId="6BBE5FC1" w14:textId="016C6AF9" w:rsidR="003B735A" w:rsidRPr="003B735A" w:rsidRDefault="00086B5A" w:rsidP="003B735A">
      <w:pPr>
        <w:ind w:firstLine="720"/>
        <w:rPr>
          <w:rFonts w:asciiTheme="majorBidi" w:hAnsiTheme="majorBidi" w:cstheme="majorBidi"/>
          <w:noProof/>
        </w:rPr>
      </w:pPr>
      <w:r w:rsidRPr="00A81FD5">
        <w:rPr>
          <w:rFonts w:asciiTheme="majorBidi" w:hAnsiTheme="majorBidi" w:cstheme="majorBidi"/>
          <w:noProof/>
        </w:rPr>
        <w:t>The authors declare no conflicts of interest.</w:t>
      </w:r>
    </w:p>
    <w:p w14:paraId="38E88AC2" w14:textId="60670882" w:rsidR="003B735A" w:rsidRPr="003B735A" w:rsidRDefault="003B735A" w:rsidP="003B735A">
      <w:pPr>
        <w:spacing w:after="120"/>
        <w:rPr>
          <w:rFonts w:asciiTheme="majorBidi" w:hAnsiTheme="majorBidi" w:cstheme="majorBidi"/>
          <w:b/>
          <w:bCs/>
          <w:i/>
          <w:iCs/>
        </w:rPr>
      </w:pPr>
      <w:r w:rsidRPr="003B735A">
        <w:rPr>
          <w:rFonts w:asciiTheme="majorBidi" w:hAnsiTheme="majorBidi" w:cstheme="majorBidi"/>
          <w:b/>
          <w:bCs/>
          <w:i/>
          <w:iCs/>
        </w:rPr>
        <w:t>Ethical of approval</w:t>
      </w:r>
    </w:p>
    <w:p w14:paraId="03BE9877" w14:textId="1DD6FB72" w:rsidR="003C447B" w:rsidRDefault="003B735A" w:rsidP="003B735A">
      <w:pPr>
        <w:ind w:right="-525"/>
        <w:jc w:val="both"/>
        <w:rPr>
          <w:rFonts w:asciiTheme="majorBidi" w:eastAsia="Calibri" w:hAnsiTheme="majorBidi" w:cstheme="majorBidi"/>
        </w:rPr>
        <w:sectPr w:rsidR="003C447B" w:rsidSect="00E56D08">
          <w:type w:val="continuous"/>
          <w:pgSz w:w="11906" w:h="16838" w:code="9"/>
          <w:pgMar w:top="1418" w:right="1418" w:bottom="1418" w:left="1418" w:header="964" w:footer="964" w:gutter="0"/>
          <w:cols w:num="2" w:space="480"/>
          <w:titlePg/>
        </w:sectPr>
      </w:pPr>
      <w:r w:rsidRPr="009E19DD">
        <w:rPr>
          <w:rFonts w:asciiTheme="majorBidi" w:eastAsia="Calibri" w:hAnsiTheme="majorBidi" w:cstheme="majorBidi"/>
        </w:rPr>
        <w:t xml:space="preserve"> </w:t>
      </w:r>
      <w:r w:rsidRPr="009E19DD">
        <w:rPr>
          <w:rFonts w:asciiTheme="majorBidi" w:eastAsia="Calibri" w:hAnsiTheme="majorBidi" w:cstheme="majorBidi"/>
        </w:rPr>
        <w:tab/>
        <w:t>Experiments for this study were ethically approved by the Scientific Research Ethics Committee (Animal Care and Use), Faculty of Veterinary medicine, Benha University, Benha, Egypt (Approval no. BUFVTM 0</w:t>
      </w:r>
      <w:r w:rsidR="00271AF2">
        <w:rPr>
          <w:rFonts w:asciiTheme="majorBidi" w:eastAsia="Calibri" w:hAnsiTheme="majorBidi" w:cstheme="majorBidi" w:hint="cs"/>
          <w:rtl/>
        </w:rPr>
        <w:t>6</w:t>
      </w:r>
      <w:r w:rsidRPr="009E19DD">
        <w:rPr>
          <w:rFonts w:asciiTheme="majorBidi" w:eastAsia="Calibri" w:hAnsiTheme="majorBidi" w:cstheme="majorBidi"/>
        </w:rPr>
        <w:t>-02-25)</w:t>
      </w:r>
    </w:p>
    <w:p w14:paraId="4DA8549B" w14:textId="77777777" w:rsidR="00E56D08" w:rsidRPr="00D31D4F" w:rsidRDefault="00E56D08" w:rsidP="003B735A">
      <w:pPr>
        <w:pStyle w:val="Els-table-text"/>
        <w:spacing w:line="276" w:lineRule="auto"/>
        <w:rPr>
          <w:rFonts w:asciiTheme="majorBidi" w:hAnsiTheme="majorBidi" w:cstheme="majorBidi"/>
          <w:b/>
          <w:bCs/>
          <w:color w:val="FF0000"/>
          <w:sz w:val="20"/>
          <w:lang w:val="en-GB"/>
        </w:rPr>
        <w:sectPr w:rsidR="00E56D08" w:rsidRPr="00D31D4F" w:rsidSect="003C447B">
          <w:pgSz w:w="11906" w:h="16838" w:code="9"/>
          <w:pgMar w:top="1418" w:right="1418" w:bottom="1418" w:left="1418" w:header="964" w:footer="964" w:gutter="0"/>
          <w:cols w:num="2" w:space="480"/>
          <w:titlePg/>
        </w:sectPr>
      </w:pPr>
    </w:p>
    <w:p w14:paraId="6D361774" w14:textId="20EBD6F0" w:rsidR="00317F79" w:rsidRDefault="00317F79" w:rsidP="003B735A">
      <w:pPr>
        <w:pStyle w:val="Els-table-text"/>
        <w:spacing w:line="276" w:lineRule="auto"/>
        <w:rPr>
          <w:rFonts w:asciiTheme="majorBidi" w:hAnsiTheme="majorBidi" w:cstheme="majorBidi"/>
          <w:b/>
          <w:bCs/>
          <w:color w:val="FF0000"/>
          <w:sz w:val="20"/>
        </w:rPr>
      </w:pPr>
      <w:r>
        <w:rPr>
          <w:rFonts w:asciiTheme="majorBidi" w:hAnsiTheme="majorBidi" w:cstheme="majorBidi"/>
          <w:b/>
          <w:bCs/>
          <w:color w:val="FF0000"/>
          <w:sz w:val="20"/>
        </w:rPr>
        <w:br/>
      </w:r>
    </w:p>
    <w:p w14:paraId="21BFE873" w14:textId="5675A255" w:rsidR="00D31D4F" w:rsidRPr="009E19DD" w:rsidRDefault="00D31D4F" w:rsidP="00741452">
      <w:pPr>
        <w:ind w:left="142" w:right="-100"/>
        <w:jc w:val="center"/>
        <w:rPr>
          <w:rFonts w:asciiTheme="majorBidi" w:eastAsia="Calibri" w:hAnsiTheme="majorBidi" w:cstheme="majorBidi"/>
          <w:lang w:bidi="ar-EG"/>
        </w:rPr>
      </w:pPr>
      <w:r w:rsidRPr="009E19DD">
        <w:rPr>
          <w:rFonts w:asciiTheme="majorBidi" w:eastAsia="Calibri" w:hAnsiTheme="majorBidi" w:cstheme="majorBidi"/>
          <w:b/>
          <w:bCs/>
        </w:rPr>
        <w:t xml:space="preserve">Table (1): </w:t>
      </w:r>
      <w:r w:rsidRPr="0061144E">
        <w:rPr>
          <w:rFonts w:asciiTheme="majorBidi" w:eastAsia="Calibri" w:hAnsiTheme="majorBidi" w:cstheme="majorBidi"/>
          <w:b/>
          <w:bCs/>
        </w:rPr>
        <w:t>Erythrogram</w:t>
      </w:r>
      <w:r w:rsidR="00407645">
        <w:rPr>
          <w:rFonts w:asciiTheme="majorBidi" w:eastAsia="Calibri" w:hAnsiTheme="majorBidi" w:cstheme="majorBidi"/>
          <w:b/>
          <w:bCs/>
        </w:rPr>
        <w:t xml:space="preserve"> and </w:t>
      </w:r>
      <w:r w:rsidR="00407645" w:rsidRPr="00407645">
        <w:rPr>
          <w:b/>
          <w:bCs/>
        </w:rPr>
        <w:t>Erythrocyte</w:t>
      </w:r>
      <w:r w:rsidR="00407645" w:rsidRPr="00407645">
        <w:rPr>
          <w:rFonts w:asciiTheme="majorBidi" w:eastAsia="Calibri" w:hAnsiTheme="majorBidi" w:cstheme="majorBidi"/>
          <w:b/>
          <w:bCs/>
        </w:rPr>
        <w:t xml:space="preserve"> indices</w:t>
      </w:r>
      <w:r w:rsidRPr="0061144E">
        <w:rPr>
          <w:rFonts w:asciiTheme="majorBidi" w:eastAsia="Calibri" w:hAnsiTheme="majorBidi" w:cstheme="majorBidi"/>
          <w:b/>
          <w:bCs/>
        </w:rPr>
        <w:t xml:space="preserve"> after repeated s</w:t>
      </w:r>
      <w:r w:rsidRPr="0061144E">
        <w:rPr>
          <w:rFonts w:asciiTheme="majorBidi" w:eastAsia="Calibri" w:hAnsiTheme="majorBidi" w:cstheme="majorBidi" w:hint="cs"/>
          <w:b/>
          <w:bCs/>
          <w:rtl/>
          <w:lang w:bidi="ar-EG"/>
        </w:rPr>
        <w:t>/</w:t>
      </w:r>
      <w:r w:rsidRPr="0061144E">
        <w:rPr>
          <w:rFonts w:asciiTheme="majorBidi" w:eastAsia="Calibri" w:hAnsiTheme="majorBidi" w:cstheme="majorBidi"/>
          <w:b/>
          <w:bCs/>
          <w:lang w:bidi="ar-EG"/>
        </w:rPr>
        <w:t>c injection of DMH to rats compared to that of different treatments.</w:t>
      </w:r>
    </w:p>
    <w:tbl>
      <w:tblPr>
        <w:tblStyle w:val="TableGrid"/>
        <w:tblpPr w:leftFromText="180" w:rightFromText="180" w:vertAnchor="page" w:horzAnchor="page" w:tblpXSpec="center" w:tblpY="3286"/>
        <w:tblW w:w="9060" w:type="dxa"/>
        <w:tblLook w:val="04A0" w:firstRow="1" w:lastRow="0" w:firstColumn="1" w:lastColumn="0" w:noHBand="0" w:noVBand="1"/>
      </w:tblPr>
      <w:tblGrid>
        <w:gridCol w:w="1624"/>
        <w:gridCol w:w="1446"/>
        <w:gridCol w:w="1461"/>
        <w:gridCol w:w="1418"/>
        <w:gridCol w:w="1071"/>
        <w:gridCol w:w="979"/>
        <w:gridCol w:w="1061"/>
      </w:tblGrid>
      <w:tr w:rsidR="00407645" w:rsidRPr="00407645" w14:paraId="07E0EFA3" w14:textId="6C68CB29" w:rsidTr="00407645">
        <w:trPr>
          <w:trHeight w:val="557"/>
        </w:trPr>
        <w:tc>
          <w:tcPr>
            <w:tcW w:w="1624" w:type="dxa"/>
            <w:vAlign w:val="center"/>
          </w:tcPr>
          <w:p w14:paraId="69C7EAD2" w14:textId="77777777" w:rsidR="00407645" w:rsidRPr="00407645" w:rsidRDefault="00407645" w:rsidP="00407645">
            <w:pPr>
              <w:jc w:val="center"/>
              <w:rPr>
                <w:rFonts w:asciiTheme="majorBidi" w:hAnsiTheme="majorBidi" w:cstheme="majorBidi"/>
                <w:b/>
                <w:bCs/>
                <w:sz w:val="20"/>
                <w:szCs w:val="20"/>
              </w:rPr>
            </w:pPr>
            <w:bookmarkStart w:id="8" w:name="_Hlk216138434"/>
            <w:r w:rsidRPr="00407645">
              <w:rPr>
                <w:rFonts w:asciiTheme="majorBidi" w:hAnsiTheme="majorBidi" w:cstheme="majorBidi"/>
                <w:b/>
                <w:bCs/>
                <w:sz w:val="20"/>
                <w:szCs w:val="20"/>
              </w:rPr>
              <w:t>Groups</w:t>
            </w:r>
          </w:p>
        </w:tc>
        <w:tc>
          <w:tcPr>
            <w:tcW w:w="1446" w:type="dxa"/>
            <w:vAlign w:val="center"/>
          </w:tcPr>
          <w:p w14:paraId="35885A6C" w14:textId="77777777" w:rsidR="00407645" w:rsidRPr="00407645" w:rsidRDefault="00407645" w:rsidP="00407645">
            <w:pPr>
              <w:jc w:val="center"/>
              <w:rPr>
                <w:rFonts w:asciiTheme="majorBidi" w:hAnsiTheme="majorBidi" w:cstheme="majorBidi"/>
                <w:b/>
                <w:bCs/>
                <w:sz w:val="20"/>
                <w:szCs w:val="20"/>
              </w:rPr>
            </w:pPr>
            <w:r w:rsidRPr="00407645">
              <w:rPr>
                <w:rFonts w:asciiTheme="majorBidi" w:hAnsiTheme="majorBidi" w:cstheme="majorBidi"/>
                <w:b/>
                <w:bCs/>
                <w:sz w:val="20"/>
                <w:szCs w:val="20"/>
              </w:rPr>
              <w:t>RBCs count(*10</w:t>
            </w:r>
            <w:r w:rsidRPr="00407645">
              <w:rPr>
                <w:rFonts w:asciiTheme="majorBidi" w:hAnsiTheme="majorBidi" w:cstheme="majorBidi"/>
                <w:b/>
                <w:bCs/>
                <w:sz w:val="20"/>
                <w:szCs w:val="20"/>
                <w:vertAlign w:val="superscript"/>
              </w:rPr>
              <w:t>12</w:t>
            </w:r>
            <w:r w:rsidRPr="00407645">
              <w:rPr>
                <w:rFonts w:asciiTheme="majorBidi" w:hAnsiTheme="majorBidi" w:cstheme="majorBidi"/>
                <w:b/>
                <w:bCs/>
                <w:sz w:val="20"/>
                <w:szCs w:val="20"/>
              </w:rPr>
              <w:t>/L)</w:t>
            </w:r>
          </w:p>
        </w:tc>
        <w:tc>
          <w:tcPr>
            <w:tcW w:w="1461" w:type="dxa"/>
            <w:vAlign w:val="center"/>
          </w:tcPr>
          <w:p w14:paraId="4B01BCCC" w14:textId="38B9A9B9" w:rsidR="00407645" w:rsidRPr="00407645" w:rsidRDefault="00407645" w:rsidP="00407645">
            <w:pPr>
              <w:jc w:val="center"/>
              <w:rPr>
                <w:rFonts w:asciiTheme="majorBidi" w:hAnsiTheme="majorBidi" w:cstheme="majorBidi"/>
                <w:b/>
                <w:bCs/>
                <w:sz w:val="20"/>
                <w:szCs w:val="20"/>
              </w:rPr>
            </w:pPr>
            <w:r w:rsidRPr="00407645">
              <w:rPr>
                <w:rFonts w:asciiTheme="majorBidi" w:hAnsiTheme="majorBidi" w:cstheme="majorBidi"/>
                <w:b/>
                <w:bCs/>
                <w:sz w:val="20"/>
                <w:szCs w:val="20"/>
              </w:rPr>
              <w:t>Hemoglobin</w:t>
            </w:r>
          </w:p>
          <w:p w14:paraId="1CB4B69A" w14:textId="77777777" w:rsidR="00407645" w:rsidRPr="00407645" w:rsidRDefault="00407645" w:rsidP="00407645">
            <w:pPr>
              <w:jc w:val="center"/>
              <w:rPr>
                <w:rFonts w:asciiTheme="majorBidi" w:hAnsiTheme="majorBidi" w:cstheme="majorBidi"/>
                <w:b/>
                <w:bCs/>
                <w:sz w:val="20"/>
                <w:szCs w:val="20"/>
                <w:lang w:bidi="ar-EG"/>
              </w:rPr>
            </w:pPr>
            <w:r w:rsidRPr="00407645">
              <w:rPr>
                <w:rFonts w:asciiTheme="majorBidi" w:hAnsiTheme="majorBidi" w:cstheme="majorBidi"/>
                <w:b/>
                <w:bCs/>
                <w:sz w:val="20"/>
                <w:szCs w:val="20"/>
              </w:rPr>
              <w:t>(g</w:t>
            </w:r>
            <w:r w:rsidRPr="00407645">
              <w:rPr>
                <w:rFonts w:asciiTheme="majorBidi" w:hAnsiTheme="majorBidi" w:cstheme="majorBidi"/>
                <w:b/>
                <w:bCs/>
                <w:sz w:val="20"/>
                <w:szCs w:val="20"/>
                <w:rtl/>
                <w:lang w:bidi="ar-EG"/>
              </w:rPr>
              <w:t>/</w:t>
            </w:r>
            <w:r w:rsidRPr="00407645">
              <w:rPr>
                <w:rFonts w:asciiTheme="majorBidi" w:hAnsiTheme="majorBidi" w:cstheme="majorBidi"/>
                <w:b/>
                <w:bCs/>
                <w:sz w:val="20"/>
                <w:szCs w:val="20"/>
                <w:lang w:bidi="ar-EG"/>
              </w:rPr>
              <w:t>dl)</w:t>
            </w:r>
          </w:p>
        </w:tc>
        <w:tc>
          <w:tcPr>
            <w:tcW w:w="1418" w:type="dxa"/>
            <w:vAlign w:val="center"/>
          </w:tcPr>
          <w:p w14:paraId="5BCDF947" w14:textId="77777777" w:rsidR="00407645" w:rsidRPr="00407645" w:rsidRDefault="00407645" w:rsidP="00407645">
            <w:pPr>
              <w:jc w:val="center"/>
              <w:rPr>
                <w:rFonts w:asciiTheme="majorBidi" w:hAnsiTheme="majorBidi" w:cstheme="majorBidi"/>
                <w:b/>
                <w:bCs/>
                <w:sz w:val="20"/>
                <w:szCs w:val="20"/>
              </w:rPr>
            </w:pPr>
            <w:r w:rsidRPr="00407645">
              <w:rPr>
                <w:rFonts w:asciiTheme="majorBidi" w:hAnsiTheme="majorBidi" w:cstheme="majorBidi"/>
                <w:b/>
                <w:bCs/>
                <w:sz w:val="20"/>
                <w:szCs w:val="20"/>
              </w:rPr>
              <w:t>Hematocrit (%)</w:t>
            </w:r>
          </w:p>
        </w:tc>
        <w:tc>
          <w:tcPr>
            <w:tcW w:w="1071" w:type="dxa"/>
            <w:vAlign w:val="center"/>
          </w:tcPr>
          <w:p w14:paraId="10201F8A" w14:textId="4EA9402D" w:rsidR="00407645" w:rsidRPr="00407645" w:rsidRDefault="00407645" w:rsidP="00407645">
            <w:pPr>
              <w:jc w:val="center"/>
              <w:rPr>
                <w:rFonts w:asciiTheme="majorBidi" w:hAnsiTheme="majorBidi" w:cstheme="majorBidi"/>
                <w:b/>
                <w:bCs/>
                <w:sz w:val="20"/>
                <w:szCs w:val="20"/>
              </w:rPr>
            </w:pPr>
            <w:r w:rsidRPr="00407645">
              <w:rPr>
                <w:rFonts w:asciiTheme="majorBidi" w:hAnsiTheme="majorBidi" w:cstheme="majorBidi"/>
                <w:b/>
                <w:bCs/>
                <w:sz w:val="20"/>
                <w:szCs w:val="20"/>
              </w:rPr>
              <w:t>MCV (fL)</w:t>
            </w:r>
          </w:p>
        </w:tc>
        <w:tc>
          <w:tcPr>
            <w:tcW w:w="979" w:type="dxa"/>
            <w:vAlign w:val="center"/>
          </w:tcPr>
          <w:p w14:paraId="7231C9AB" w14:textId="4E0FCB99" w:rsidR="00407645" w:rsidRPr="00407645" w:rsidRDefault="00407645" w:rsidP="00407645">
            <w:pPr>
              <w:jc w:val="center"/>
              <w:rPr>
                <w:rFonts w:asciiTheme="majorBidi" w:hAnsiTheme="majorBidi" w:cstheme="majorBidi"/>
                <w:b/>
                <w:bCs/>
                <w:sz w:val="20"/>
                <w:szCs w:val="20"/>
              </w:rPr>
            </w:pPr>
            <w:r w:rsidRPr="00407645">
              <w:rPr>
                <w:rFonts w:asciiTheme="majorBidi" w:hAnsiTheme="majorBidi" w:cstheme="majorBidi"/>
                <w:b/>
                <w:bCs/>
                <w:sz w:val="20"/>
                <w:szCs w:val="20"/>
              </w:rPr>
              <w:t>MCHC (%)</w:t>
            </w:r>
          </w:p>
        </w:tc>
        <w:tc>
          <w:tcPr>
            <w:tcW w:w="1061" w:type="dxa"/>
            <w:vAlign w:val="center"/>
          </w:tcPr>
          <w:p w14:paraId="0B46C6E1" w14:textId="4F0290D6" w:rsidR="00407645" w:rsidRPr="00407645" w:rsidRDefault="00407645" w:rsidP="00407645">
            <w:pPr>
              <w:jc w:val="center"/>
              <w:rPr>
                <w:rFonts w:asciiTheme="majorBidi" w:hAnsiTheme="majorBidi" w:cstheme="majorBidi"/>
                <w:b/>
                <w:bCs/>
                <w:sz w:val="20"/>
                <w:szCs w:val="20"/>
              </w:rPr>
            </w:pPr>
            <w:r w:rsidRPr="00407645">
              <w:rPr>
                <w:rFonts w:asciiTheme="majorBidi" w:hAnsiTheme="majorBidi" w:cstheme="majorBidi"/>
                <w:b/>
                <w:bCs/>
                <w:sz w:val="20"/>
                <w:szCs w:val="20"/>
              </w:rPr>
              <w:t>MCH(Pg)</w:t>
            </w:r>
          </w:p>
        </w:tc>
      </w:tr>
      <w:tr w:rsidR="00407645" w:rsidRPr="00407645" w14:paraId="16ED18BA" w14:textId="35485744" w:rsidTr="00407645">
        <w:trPr>
          <w:trHeight w:val="693"/>
        </w:trPr>
        <w:tc>
          <w:tcPr>
            <w:tcW w:w="1624" w:type="dxa"/>
            <w:vAlign w:val="center"/>
          </w:tcPr>
          <w:p w14:paraId="5B5607B2"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Negative control (isosaline orally, once daily for 6 weeks)</w:t>
            </w:r>
          </w:p>
        </w:tc>
        <w:tc>
          <w:tcPr>
            <w:tcW w:w="1446" w:type="dxa"/>
            <w:vAlign w:val="center"/>
          </w:tcPr>
          <w:p w14:paraId="0E721C72"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7.3</w:t>
            </w:r>
            <w:bookmarkStart w:id="9" w:name="_Hlk216165734"/>
            <w:r w:rsidRPr="00407645">
              <w:rPr>
                <w:rFonts w:asciiTheme="majorBidi" w:hAnsiTheme="majorBidi" w:cstheme="majorBidi"/>
                <w:sz w:val="20"/>
                <w:szCs w:val="20"/>
              </w:rPr>
              <w:t xml:space="preserve"> ±</w:t>
            </w:r>
            <w:bookmarkEnd w:id="9"/>
            <w:r w:rsidRPr="00407645">
              <w:rPr>
                <w:rFonts w:asciiTheme="majorBidi" w:hAnsiTheme="majorBidi" w:cstheme="majorBidi"/>
                <w:sz w:val="20"/>
                <w:szCs w:val="20"/>
              </w:rPr>
              <w:t xml:space="preserve"> 0.11</w:t>
            </w:r>
          </w:p>
        </w:tc>
        <w:tc>
          <w:tcPr>
            <w:tcW w:w="1461" w:type="dxa"/>
            <w:vAlign w:val="center"/>
          </w:tcPr>
          <w:p w14:paraId="4ABA00A7"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13.58 ± 0.11</w:t>
            </w:r>
            <w:r w:rsidRPr="00407645">
              <w:rPr>
                <w:rFonts w:asciiTheme="majorBidi" w:hAnsiTheme="majorBidi" w:cstheme="majorBidi"/>
                <w:sz w:val="20"/>
                <w:szCs w:val="20"/>
                <w:vertAlign w:val="superscript"/>
              </w:rPr>
              <w:t>a</w:t>
            </w:r>
          </w:p>
        </w:tc>
        <w:tc>
          <w:tcPr>
            <w:tcW w:w="1418" w:type="dxa"/>
            <w:vAlign w:val="center"/>
          </w:tcPr>
          <w:p w14:paraId="5CB7EC32"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40.4 ± 0.90</w:t>
            </w:r>
          </w:p>
        </w:tc>
        <w:tc>
          <w:tcPr>
            <w:tcW w:w="1071" w:type="dxa"/>
            <w:vAlign w:val="center"/>
          </w:tcPr>
          <w:p w14:paraId="6C3E80E9" w14:textId="307B3CEE"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56 ± 1.8</w:t>
            </w:r>
          </w:p>
        </w:tc>
        <w:tc>
          <w:tcPr>
            <w:tcW w:w="979" w:type="dxa"/>
            <w:vAlign w:val="center"/>
          </w:tcPr>
          <w:p w14:paraId="15435424" w14:textId="02DD527A"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34 ± 0.66</w:t>
            </w:r>
          </w:p>
        </w:tc>
        <w:tc>
          <w:tcPr>
            <w:tcW w:w="1061" w:type="dxa"/>
            <w:vAlign w:val="center"/>
          </w:tcPr>
          <w:p w14:paraId="3348A804" w14:textId="7FB1C7E4"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19 ± 0.43</w:t>
            </w:r>
          </w:p>
        </w:tc>
      </w:tr>
      <w:tr w:rsidR="00407645" w:rsidRPr="00407645" w14:paraId="5C638CE8" w14:textId="056272E7" w:rsidTr="00407645">
        <w:trPr>
          <w:trHeight w:val="1046"/>
        </w:trPr>
        <w:tc>
          <w:tcPr>
            <w:tcW w:w="1624" w:type="dxa"/>
            <w:vAlign w:val="center"/>
          </w:tcPr>
          <w:p w14:paraId="20DA53E4"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Positive control (DMH 40 mg/kg in 1mM EDTA, S.C, twice weekly for 6 weeks)</w:t>
            </w:r>
          </w:p>
        </w:tc>
        <w:tc>
          <w:tcPr>
            <w:tcW w:w="1446" w:type="dxa"/>
            <w:vAlign w:val="center"/>
          </w:tcPr>
          <w:p w14:paraId="72D10DC5" w14:textId="77777777" w:rsidR="00407645" w:rsidRPr="00407645" w:rsidRDefault="00407645" w:rsidP="00407645">
            <w:pPr>
              <w:jc w:val="center"/>
              <w:rPr>
                <w:rFonts w:asciiTheme="majorBidi" w:hAnsiTheme="majorBidi" w:cstheme="majorBidi"/>
                <w:sz w:val="20"/>
                <w:szCs w:val="20"/>
                <w:vertAlign w:val="superscript"/>
              </w:rPr>
            </w:pPr>
            <w:r w:rsidRPr="00407645">
              <w:rPr>
                <w:rFonts w:asciiTheme="majorBidi" w:hAnsiTheme="majorBidi" w:cstheme="majorBidi"/>
                <w:sz w:val="20"/>
                <w:szCs w:val="20"/>
              </w:rPr>
              <w:t>6.9 ± 0.34</w:t>
            </w:r>
          </w:p>
        </w:tc>
        <w:tc>
          <w:tcPr>
            <w:tcW w:w="1461" w:type="dxa"/>
            <w:vAlign w:val="center"/>
          </w:tcPr>
          <w:p w14:paraId="590A2465"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11.55 ± o.36</w:t>
            </w:r>
            <w:r w:rsidRPr="00407645">
              <w:rPr>
                <w:rFonts w:asciiTheme="majorBidi" w:hAnsiTheme="majorBidi" w:cstheme="majorBidi"/>
                <w:sz w:val="20"/>
                <w:szCs w:val="20"/>
                <w:vertAlign w:val="superscript"/>
              </w:rPr>
              <w:t>b</w:t>
            </w:r>
          </w:p>
        </w:tc>
        <w:tc>
          <w:tcPr>
            <w:tcW w:w="1418" w:type="dxa"/>
            <w:vAlign w:val="center"/>
          </w:tcPr>
          <w:p w14:paraId="75230AD5"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39.43 ± 0.256</w:t>
            </w:r>
          </w:p>
        </w:tc>
        <w:tc>
          <w:tcPr>
            <w:tcW w:w="1071" w:type="dxa"/>
            <w:vAlign w:val="center"/>
          </w:tcPr>
          <w:p w14:paraId="36E17B3D" w14:textId="624E7129"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56 ± 0.47</w:t>
            </w:r>
          </w:p>
        </w:tc>
        <w:tc>
          <w:tcPr>
            <w:tcW w:w="979" w:type="dxa"/>
            <w:vAlign w:val="center"/>
          </w:tcPr>
          <w:p w14:paraId="34FD300D" w14:textId="7658220F"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31 ± 3.4</w:t>
            </w:r>
          </w:p>
        </w:tc>
        <w:tc>
          <w:tcPr>
            <w:tcW w:w="1061" w:type="dxa"/>
            <w:vAlign w:val="center"/>
          </w:tcPr>
          <w:p w14:paraId="2CDECC67" w14:textId="2E1F966E"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17 ± 1.8</w:t>
            </w:r>
          </w:p>
        </w:tc>
      </w:tr>
      <w:tr w:rsidR="00407645" w:rsidRPr="00407645" w14:paraId="22A850A0" w14:textId="7A546601" w:rsidTr="00407645">
        <w:trPr>
          <w:trHeight w:val="513"/>
        </w:trPr>
        <w:tc>
          <w:tcPr>
            <w:tcW w:w="1624" w:type="dxa"/>
            <w:vAlign w:val="center"/>
          </w:tcPr>
          <w:p w14:paraId="7221801D"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Standard (5- FU, 50 mg/kg, ip once weekly for 6 weeks)</w:t>
            </w:r>
          </w:p>
        </w:tc>
        <w:tc>
          <w:tcPr>
            <w:tcW w:w="1446" w:type="dxa"/>
            <w:vAlign w:val="center"/>
          </w:tcPr>
          <w:p w14:paraId="0A3CBE97" w14:textId="77777777" w:rsidR="00407645" w:rsidRPr="00407645" w:rsidRDefault="00407645" w:rsidP="00407645">
            <w:pPr>
              <w:jc w:val="center"/>
              <w:rPr>
                <w:rFonts w:asciiTheme="majorBidi" w:hAnsiTheme="majorBidi" w:cstheme="majorBidi"/>
                <w:sz w:val="20"/>
                <w:szCs w:val="20"/>
                <w:vertAlign w:val="superscript"/>
              </w:rPr>
            </w:pPr>
            <w:r w:rsidRPr="00407645">
              <w:rPr>
                <w:rFonts w:asciiTheme="majorBidi" w:hAnsiTheme="majorBidi" w:cstheme="majorBidi"/>
                <w:sz w:val="20"/>
                <w:szCs w:val="20"/>
              </w:rPr>
              <w:t>7.5 ± 0.36</w:t>
            </w:r>
          </w:p>
        </w:tc>
        <w:tc>
          <w:tcPr>
            <w:tcW w:w="1461" w:type="dxa"/>
            <w:vAlign w:val="center"/>
          </w:tcPr>
          <w:p w14:paraId="5768699E"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14 ± 0.53</w:t>
            </w:r>
            <w:r w:rsidRPr="00407645">
              <w:rPr>
                <w:rFonts w:asciiTheme="majorBidi" w:hAnsiTheme="majorBidi" w:cstheme="majorBidi"/>
                <w:sz w:val="20"/>
                <w:szCs w:val="20"/>
                <w:vertAlign w:val="superscript"/>
              </w:rPr>
              <w:t>c</w:t>
            </w:r>
          </w:p>
          <w:p w14:paraId="5BA8A62B" w14:textId="77777777" w:rsidR="00407645" w:rsidRPr="00407645" w:rsidRDefault="00407645" w:rsidP="00407645">
            <w:pPr>
              <w:jc w:val="center"/>
              <w:rPr>
                <w:rFonts w:asciiTheme="majorBidi" w:hAnsiTheme="majorBidi" w:cstheme="majorBidi"/>
                <w:sz w:val="20"/>
                <w:szCs w:val="20"/>
                <w:highlight w:val="yellow"/>
              </w:rPr>
            </w:pPr>
          </w:p>
        </w:tc>
        <w:tc>
          <w:tcPr>
            <w:tcW w:w="1418" w:type="dxa"/>
            <w:vAlign w:val="center"/>
          </w:tcPr>
          <w:p w14:paraId="6FFB9C4E" w14:textId="77777777" w:rsidR="00407645" w:rsidRPr="00407645" w:rsidRDefault="00407645" w:rsidP="00407645">
            <w:pPr>
              <w:jc w:val="center"/>
              <w:rPr>
                <w:rFonts w:asciiTheme="majorBidi" w:hAnsiTheme="majorBidi" w:cstheme="majorBidi"/>
                <w:sz w:val="20"/>
                <w:szCs w:val="20"/>
                <w:highlight w:val="yellow"/>
              </w:rPr>
            </w:pPr>
            <w:r w:rsidRPr="00407645">
              <w:rPr>
                <w:rFonts w:asciiTheme="majorBidi" w:hAnsiTheme="majorBidi" w:cstheme="majorBidi"/>
                <w:sz w:val="20"/>
                <w:szCs w:val="20"/>
              </w:rPr>
              <w:t>42.28 ± 1.283</w:t>
            </w:r>
          </w:p>
        </w:tc>
        <w:tc>
          <w:tcPr>
            <w:tcW w:w="1071" w:type="dxa"/>
            <w:vAlign w:val="center"/>
          </w:tcPr>
          <w:p w14:paraId="095A4D64" w14:textId="0CDAD2E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57 ± 1.1</w:t>
            </w:r>
          </w:p>
        </w:tc>
        <w:tc>
          <w:tcPr>
            <w:tcW w:w="979" w:type="dxa"/>
            <w:vAlign w:val="center"/>
          </w:tcPr>
          <w:p w14:paraId="75679BA0" w14:textId="41D9B2B2"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33 ± 0.39</w:t>
            </w:r>
          </w:p>
        </w:tc>
        <w:tc>
          <w:tcPr>
            <w:tcW w:w="1061" w:type="dxa"/>
            <w:vAlign w:val="center"/>
          </w:tcPr>
          <w:p w14:paraId="12DA255C" w14:textId="57A93B24"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19 ± 0.34</w:t>
            </w:r>
          </w:p>
        </w:tc>
      </w:tr>
      <w:tr w:rsidR="00407645" w:rsidRPr="00407645" w14:paraId="0F776AA4" w14:textId="55D7EA9A" w:rsidTr="00407645">
        <w:trPr>
          <w:trHeight w:val="993"/>
        </w:trPr>
        <w:tc>
          <w:tcPr>
            <w:tcW w:w="1624" w:type="dxa"/>
            <w:vAlign w:val="center"/>
          </w:tcPr>
          <w:p w14:paraId="2E29E05E"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i/>
                <w:iCs/>
                <w:sz w:val="20"/>
                <w:szCs w:val="20"/>
              </w:rPr>
              <w:t>VRE</w:t>
            </w:r>
            <w:r w:rsidRPr="00407645">
              <w:rPr>
                <w:rFonts w:asciiTheme="majorBidi" w:hAnsiTheme="majorBidi" w:cstheme="majorBidi"/>
                <w:sz w:val="20"/>
                <w:szCs w:val="20"/>
              </w:rPr>
              <w:t>-SD treated group (</w:t>
            </w:r>
            <w:r w:rsidRPr="00407645">
              <w:rPr>
                <w:rFonts w:asciiTheme="majorBidi" w:hAnsiTheme="majorBidi" w:cstheme="majorBidi"/>
                <w:i/>
                <w:iCs/>
                <w:sz w:val="20"/>
                <w:szCs w:val="20"/>
              </w:rPr>
              <w:t>VRE</w:t>
            </w:r>
            <w:r w:rsidRPr="00407645">
              <w:rPr>
                <w:rFonts w:asciiTheme="majorBidi" w:hAnsiTheme="majorBidi" w:cstheme="majorBidi"/>
                <w:sz w:val="20"/>
                <w:szCs w:val="20"/>
              </w:rPr>
              <w:t>, 150 mg/kg, orally, once daily for 6 weeks)</w:t>
            </w:r>
          </w:p>
        </w:tc>
        <w:tc>
          <w:tcPr>
            <w:tcW w:w="1446" w:type="dxa"/>
            <w:vAlign w:val="center"/>
          </w:tcPr>
          <w:p w14:paraId="1791529D" w14:textId="77777777" w:rsidR="00407645" w:rsidRPr="00407645" w:rsidRDefault="00407645" w:rsidP="00407645">
            <w:pPr>
              <w:jc w:val="center"/>
              <w:rPr>
                <w:rFonts w:asciiTheme="majorBidi" w:hAnsiTheme="majorBidi" w:cstheme="majorBidi"/>
                <w:sz w:val="20"/>
                <w:szCs w:val="20"/>
                <w:vertAlign w:val="superscript"/>
              </w:rPr>
            </w:pPr>
            <w:r w:rsidRPr="00407645">
              <w:rPr>
                <w:rFonts w:asciiTheme="majorBidi" w:hAnsiTheme="majorBidi" w:cstheme="majorBidi"/>
                <w:sz w:val="20"/>
                <w:szCs w:val="20"/>
              </w:rPr>
              <w:t>7.2 ± 0.21</w:t>
            </w:r>
          </w:p>
        </w:tc>
        <w:tc>
          <w:tcPr>
            <w:tcW w:w="1461" w:type="dxa"/>
            <w:vAlign w:val="center"/>
          </w:tcPr>
          <w:p w14:paraId="3D1B0A0E" w14:textId="77777777" w:rsidR="00407645" w:rsidRPr="00407645" w:rsidRDefault="00407645" w:rsidP="00407645">
            <w:pPr>
              <w:jc w:val="center"/>
              <w:rPr>
                <w:rFonts w:asciiTheme="majorBidi" w:hAnsiTheme="majorBidi" w:cstheme="majorBidi"/>
                <w:sz w:val="20"/>
                <w:szCs w:val="20"/>
                <w:highlight w:val="yellow"/>
              </w:rPr>
            </w:pPr>
            <w:r w:rsidRPr="00407645">
              <w:rPr>
                <w:rFonts w:asciiTheme="majorBidi" w:hAnsiTheme="majorBidi" w:cstheme="majorBidi"/>
                <w:sz w:val="20"/>
                <w:szCs w:val="20"/>
              </w:rPr>
              <w:t>13.63 ± 0.37</w:t>
            </w:r>
            <w:r w:rsidRPr="00407645">
              <w:rPr>
                <w:rFonts w:asciiTheme="majorBidi" w:hAnsiTheme="majorBidi" w:cstheme="majorBidi"/>
                <w:sz w:val="20"/>
                <w:szCs w:val="20"/>
                <w:vertAlign w:val="superscript"/>
              </w:rPr>
              <w:t>ac</w:t>
            </w:r>
          </w:p>
        </w:tc>
        <w:tc>
          <w:tcPr>
            <w:tcW w:w="1418" w:type="dxa"/>
            <w:vAlign w:val="center"/>
          </w:tcPr>
          <w:p w14:paraId="515D9DB1" w14:textId="77777777" w:rsidR="00407645" w:rsidRPr="00407645" w:rsidRDefault="00407645" w:rsidP="00407645">
            <w:pPr>
              <w:jc w:val="center"/>
              <w:rPr>
                <w:rFonts w:asciiTheme="majorBidi" w:hAnsiTheme="majorBidi" w:cstheme="majorBidi"/>
                <w:sz w:val="20"/>
                <w:szCs w:val="20"/>
                <w:highlight w:val="yellow"/>
              </w:rPr>
            </w:pPr>
            <w:r w:rsidRPr="00407645">
              <w:rPr>
                <w:rFonts w:asciiTheme="majorBidi" w:hAnsiTheme="majorBidi" w:cstheme="majorBidi"/>
                <w:sz w:val="20"/>
                <w:szCs w:val="20"/>
              </w:rPr>
              <w:t>41.18 ± 1.195</w:t>
            </w:r>
          </w:p>
        </w:tc>
        <w:tc>
          <w:tcPr>
            <w:tcW w:w="1071" w:type="dxa"/>
            <w:vAlign w:val="center"/>
          </w:tcPr>
          <w:p w14:paraId="075B1F57" w14:textId="124EC42D"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57 ± 0.50</w:t>
            </w:r>
          </w:p>
        </w:tc>
        <w:tc>
          <w:tcPr>
            <w:tcW w:w="979" w:type="dxa"/>
            <w:vAlign w:val="center"/>
          </w:tcPr>
          <w:p w14:paraId="42FF0932" w14:textId="72C89BA1"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33 ± 0.11</w:t>
            </w:r>
          </w:p>
        </w:tc>
        <w:tc>
          <w:tcPr>
            <w:tcW w:w="1061" w:type="dxa"/>
            <w:vAlign w:val="center"/>
          </w:tcPr>
          <w:p w14:paraId="574FE7EA" w14:textId="150772EA"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19 ± 0.15</w:t>
            </w:r>
          </w:p>
        </w:tc>
      </w:tr>
      <w:tr w:rsidR="00407645" w:rsidRPr="00407645" w14:paraId="2488E00E" w14:textId="2F80F146" w:rsidTr="00407645">
        <w:trPr>
          <w:trHeight w:val="683"/>
        </w:trPr>
        <w:tc>
          <w:tcPr>
            <w:tcW w:w="1624" w:type="dxa"/>
            <w:vAlign w:val="center"/>
          </w:tcPr>
          <w:p w14:paraId="7342D929"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i/>
                <w:iCs/>
                <w:sz w:val="20"/>
                <w:szCs w:val="20"/>
              </w:rPr>
              <w:t>VRE</w:t>
            </w:r>
            <w:r w:rsidRPr="00407645">
              <w:rPr>
                <w:rFonts w:asciiTheme="majorBidi" w:hAnsiTheme="majorBidi" w:cstheme="majorBidi"/>
                <w:sz w:val="20"/>
                <w:szCs w:val="20"/>
              </w:rPr>
              <w:t>-HD treated group (</w:t>
            </w:r>
            <w:r w:rsidRPr="00407645">
              <w:rPr>
                <w:rFonts w:asciiTheme="majorBidi" w:hAnsiTheme="majorBidi" w:cstheme="majorBidi"/>
                <w:i/>
                <w:iCs/>
                <w:sz w:val="20"/>
                <w:szCs w:val="20"/>
              </w:rPr>
              <w:t>VRE</w:t>
            </w:r>
            <w:r w:rsidRPr="00407645">
              <w:rPr>
                <w:rFonts w:asciiTheme="majorBidi" w:hAnsiTheme="majorBidi" w:cstheme="majorBidi"/>
                <w:sz w:val="20"/>
                <w:szCs w:val="20"/>
              </w:rPr>
              <w:t>, 300 mg/kg, orally, once daily</w:t>
            </w:r>
          </w:p>
          <w:p w14:paraId="6691F3F3"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for 6 weeks)</w:t>
            </w:r>
          </w:p>
        </w:tc>
        <w:tc>
          <w:tcPr>
            <w:tcW w:w="1446" w:type="dxa"/>
            <w:vAlign w:val="center"/>
          </w:tcPr>
          <w:p w14:paraId="0848AD70" w14:textId="77777777"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7.0 ± 0.28</w:t>
            </w:r>
          </w:p>
        </w:tc>
        <w:tc>
          <w:tcPr>
            <w:tcW w:w="1461" w:type="dxa"/>
            <w:vAlign w:val="center"/>
          </w:tcPr>
          <w:p w14:paraId="67325456" w14:textId="77777777" w:rsidR="00407645" w:rsidRPr="00407645" w:rsidRDefault="00407645" w:rsidP="00407645">
            <w:pPr>
              <w:jc w:val="center"/>
              <w:rPr>
                <w:rFonts w:asciiTheme="majorBidi" w:hAnsiTheme="majorBidi" w:cstheme="majorBidi"/>
                <w:sz w:val="20"/>
                <w:szCs w:val="20"/>
                <w:highlight w:val="yellow"/>
              </w:rPr>
            </w:pPr>
            <w:r w:rsidRPr="00407645">
              <w:rPr>
                <w:rFonts w:asciiTheme="majorBidi" w:hAnsiTheme="majorBidi" w:cstheme="majorBidi"/>
                <w:sz w:val="20"/>
                <w:szCs w:val="20"/>
              </w:rPr>
              <w:t>13 ± 0.34</w:t>
            </w:r>
            <w:r w:rsidRPr="00407645">
              <w:rPr>
                <w:rFonts w:asciiTheme="majorBidi" w:hAnsiTheme="majorBidi" w:cstheme="majorBidi"/>
                <w:sz w:val="20"/>
                <w:szCs w:val="20"/>
                <w:vertAlign w:val="superscript"/>
              </w:rPr>
              <w:t>ac</w:t>
            </w:r>
          </w:p>
        </w:tc>
        <w:tc>
          <w:tcPr>
            <w:tcW w:w="1418" w:type="dxa"/>
            <w:vAlign w:val="center"/>
          </w:tcPr>
          <w:p w14:paraId="10DA5F5B" w14:textId="77777777" w:rsidR="00407645" w:rsidRPr="00407645" w:rsidRDefault="00407645" w:rsidP="00407645">
            <w:pPr>
              <w:jc w:val="center"/>
              <w:rPr>
                <w:rFonts w:asciiTheme="majorBidi" w:hAnsiTheme="majorBidi" w:cstheme="majorBidi"/>
                <w:sz w:val="20"/>
                <w:szCs w:val="20"/>
                <w:highlight w:val="yellow"/>
              </w:rPr>
            </w:pPr>
            <w:r w:rsidRPr="00407645">
              <w:rPr>
                <w:rFonts w:asciiTheme="majorBidi" w:hAnsiTheme="majorBidi" w:cstheme="majorBidi"/>
                <w:sz w:val="20"/>
                <w:szCs w:val="20"/>
              </w:rPr>
              <w:t>40.25 ± 0.755</w:t>
            </w:r>
          </w:p>
        </w:tc>
        <w:tc>
          <w:tcPr>
            <w:tcW w:w="1071" w:type="dxa"/>
            <w:vAlign w:val="center"/>
          </w:tcPr>
          <w:p w14:paraId="7278BC36" w14:textId="59D0458F"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58 ± 1.8</w:t>
            </w:r>
          </w:p>
        </w:tc>
        <w:tc>
          <w:tcPr>
            <w:tcW w:w="979" w:type="dxa"/>
            <w:vAlign w:val="center"/>
          </w:tcPr>
          <w:p w14:paraId="13890856" w14:textId="260974E3"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33 ± 0.31</w:t>
            </w:r>
          </w:p>
        </w:tc>
        <w:tc>
          <w:tcPr>
            <w:tcW w:w="1061" w:type="dxa"/>
            <w:vAlign w:val="center"/>
          </w:tcPr>
          <w:p w14:paraId="00B4C82D" w14:textId="53D5FE8E" w:rsidR="00407645" w:rsidRPr="00407645" w:rsidRDefault="00407645" w:rsidP="00407645">
            <w:pPr>
              <w:jc w:val="center"/>
              <w:rPr>
                <w:rFonts w:asciiTheme="majorBidi" w:hAnsiTheme="majorBidi" w:cstheme="majorBidi"/>
                <w:sz w:val="20"/>
                <w:szCs w:val="20"/>
              </w:rPr>
            </w:pPr>
            <w:r w:rsidRPr="00407645">
              <w:rPr>
                <w:rFonts w:asciiTheme="majorBidi" w:hAnsiTheme="majorBidi" w:cstheme="majorBidi"/>
                <w:sz w:val="20"/>
                <w:szCs w:val="20"/>
              </w:rPr>
              <w:t>19 ± 0.44</w:t>
            </w:r>
          </w:p>
        </w:tc>
      </w:tr>
      <w:bookmarkEnd w:id="8"/>
    </w:tbl>
    <w:p w14:paraId="2A782398" w14:textId="77777777" w:rsidR="00741452" w:rsidRDefault="00741452" w:rsidP="00D31D4F">
      <w:pPr>
        <w:jc w:val="both"/>
        <w:rPr>
          <w:rFonts w:asciiTheme="majorBidi" w:eastAsia="Calibri" w:hAnsiTheme="majorBidi" w:cstheme="majorBidi"/>
          <w:rtl/>
        </w:rPr>
      </w:pPr>
    </w:p>
    <w:p w14:paraId="632601C4" w14:textId="77777777" w:rsidR="00741452" w:rsidRDefault="00741452" w:rsidP="00D31D4F">
      <w:pPr>
        <w:jc w:val="both"/>
        <w:rPr>
          <w:rFonts w:asciiTheme="majorBidi" w:eastAsia="Calibri" w:hAnsiTheme="majorBidi" w:cstheme="majorBidi"/>
          <w:rtl/>
        </w:rPr>
      </w:pPr>
    </w:p>
    <w:p w14:paraId="64A87314" w14:textId="77777777" w:rsidR="00741452" w:rsidRDefault="00741452" w:rsidP="00D31D4F">
      <w:pPr>
        <w:jc w:val="both"/>
        <w:rPr>
          <w:rFonts w:asciiTheme="majorBidi" w:eastAsia="Calibri" w:hAnsiTheme="majorBidi" w:cstheme="majorBidi"/>
          <w:rtl/>
        </w:rPr>
      </w:pPr>
    </w:p>
    <w:p w14:paraId="1C6227D9" w14:textId="117CE63C" w:rsidR="00D31D4F" w:rsidRPr="00D54060" w:rsidRDefault="00D31D4F" w:rsidP="00741452">
      <w:pPr>
        <w:jc w:val="center"/>
        <w:rPr>
          <w:rFonts w:asciiTheme="majorBidi" w:eastAsia="Calibri" w:hAnsiTheme="majorBidi" w:cstheme="majorBidi"/>
          <w:i/>
          <w:iCs/>
          <w:lang w:bidi="ar-EG"/>
        </w:rPr>
      </w:pPr>
      <w:r w:rsidRPr="009E19DD">
        <w:rPr>
          <w:rFonts w:asciiTheme="majorBidi" w:eastAsia="Calibri" w:hAnsiTheme="majorBidi" w:cstheme="majorBidi"/>
        </w:rPr>
        <w:t>Values are presented as means ± SE of 4 rats/group.</w:t>
      </w:r>
      <w:r>
        <w:rPr>
          <w:rFonts w:asciiTheme="majorBidi" w:eastAsia="Calibri" w:hAnsiTheme="majorBidi" w:cstheme="majorBidi"/>
        </w:rPr>
        <w:t xml:space="preserve"> The values in the same column with different letter superscripts are significantly different from each other at (P value</w:t>
      </w:r>
      <w:r w:rsidRPr="009E19DD">
        <w:rPr>
          <w:rFonts w:asciiTheme="majorBidi" w:eastAsia="Calibri" w:hAnsiTheme="majorBidi" w:cstheme="majorBidi"/>
        </w:rPr>
        <w:t xml:space="preserve"> </w:t>
      </w:r>
      <w:r w:rsidRPr="009E19DD">
        <w:rPr>
          <w:rFonts w:asciiTheme="majorBidi" w:hAnsiTheme="majorBidi" w:cstheme="majorBidi"/>
        </w:rPr>
        <w:t>≤ 0.05</w:t>
      </w:r>
      <w:r>
        <w:rPr>
          <w:rFonts w:asciiTheme="majorBidi" w:hAnsiTheme="majorBidi" w:cstheme="majorBidi"/>
        </w:rPr>
        <w:t>)</w:t>
      </w:r>
      <w:r w:rsidRPr="009E19DD">
        <w:rPr>
          <w:rFonts w:asciiTheme="majorBidi" w:eastAsia="Calibri" w:hAnsiTheme="majorBidi" w:cstheme="majorBidi"/>
        </w:rPr>
        <w:t>, ANOVA followed by Tukey’s post hoc test.</w:t>
      </w:r>
      <w:r>
        <w:rPr>
          <w:rFonts w:asciiTheme="majorBidi" w:eastAsia="Calibri" w:hAnsiTheme="majorBidi" w:cstheme="majorBidi"/>
        </w:rPr>
        <w:t xml:space="preserve"> </w:t>
      </w:r>
      <w:bookmarkStart w:id="10" w:name="_Hlk219524311"/>
      <w:r>
        <w:rPr>
          <w:rFonts w:asciiTheme="majorBidi" w:eastAsia="Calibri" w:hAnsiTheme="majorBidi" w:cstheme="majorBidi"/>
        </w:rPr>
        <w:t>RBCs, Red blood cells</w:t>
      </w:r>
      <w:r>
        <w:rPr>
          <w:rFonts w:asciiTheme="majorBidi" w:eastAsia="Calibri" w:hAnsiTheme="majorBidi" w:cstheme="majorBidi"/>
          <w:lang w:bidi="ar-EG"/>
        </w:rPr>
        <w:t xml:space="preserve">; Hemoglobin; Hematocrit; DMH, 1,1dimethyle hydrazine; 5-FU, 5- Fluro Uracil; </w:t>
      </w:r>
      <w:r w:rsidRPr="00D54060">
        <w:rPr>
          <w:rFonts w:asciiTheme="majorBidi" w:eastAsia="Calibri" w:hAnsiTheme="majorBidi" w:cstheme="majorBidi"/>
          <w:i/>
          <w:iCs/>
          <w:lang w:bidi="ar-EG"/>
        </w:rPr>
        <w:t>VRE</w:t>
      </w:r>
      <w:r>
        <w:rPr>
          <w:rFonts w:asciiTheme="majorBidi" w:eastAsia="Calibri" w:hAnsiTheme="majorBidi" w:cstheme="majorBidi"/>
          <w:lang w:bidi="ar-EG"/>
        </w:rPr>
        <w:t xml:space="preserve">-SD, rats treated with small dose of </w:t>
      </w:r>
      <w:r w:rsidRPr="00D54060">
        <w:rPr>
          <w:rFonts w:asciiTheme="majorBidi" w:eastAsia="Calibri" w:hAnsiTheme="majorBidi" w:cstheme="majorBidi"/>
          <w:i/>
          <w:iCs/>
          <w:lang w:bidi="ar-EG"/>
        </w:rPr>
        <w:t xml:space="preserve">Vinca roseus </w:t>
      </w:r>
      <w:r w:rsidRPr="00407645">
        <w:rPr>
          <w:rFonts w:asciiTheme="majorBidi" w:eastAsia="Calibri" w:hAnsiTheme="majorBidi" w:cstheme="majorBidi"/>
          <w:lang w:bidi="ar-EG"/>
        </w:rPr>
        <w:t xml:space="preserve">leaves </w:t>
      </w:r>
      <w:r>
        <w:rPr>
          <w:rFonts w:asciiTheme="majorBidi" w:eastAsia="Calibri" w:hAnsiTheme="majorBidi" w:cstheme="majorBidi"/>
          <w:lang w:bidi="ar-EG"/>
        </w:rPr>
        <w:t xml:space="preserve">extract; </w:t>
      </w:r>
      <w:r w:rsidRPr="00D54060">
        <w:rPr>
          <w:rFonts w:asciiTheme="majorBidi" w:eastAsia="Calibri" w:hAnsiTheme="majorBidi" w:cstheme="majorBidi"/>
          <w:i/>
          <w:iCs/>
          <w:lang w:bidi="ar-EG"/>
        </w:rPr>
        <w:t>VRE</w:t>
      </w:r>
      <w:r>
        <w:rPr>
          <w:rFonts w:asciiTheme="majorBidi" w:eastAsia="Calibri" w:hAnsiTheme="majorBidi" w:cstheme="majorBidi"/>
          <w:lang w:bidi="ar-EG"/>
        </w:rPr>
        <w:t xml:space="preserve">-HD, rats treated with high dose of </w:t>
      </w:r>
      <w:r w:rsidRPr="00D54060">
        <w:rPr>
          <w:rFonts w:asciiTheme="majorBidi" w:eastAsia="Calibri" w:hAnsiTheme="majorBidi" w:cstheme="majorBidi"/>
          <w:i/>
          <w:iCs/>
          <w:lang w:bidi="ar-EG"/>
        </w:rPr>
        <w:t xml:space="preserve">Vinca roseus </w:t>
      </w:r>
      <w:r w:rsidRPr="00407645">
        <w:rPr>
          <w:rFonts w:asciiTheme="majorBidi" w:eastAsia="Calibri" w:hAnsiTheme="majorBidi" w:cstheme="majorBidi"/>
          <w:lang w:bidi="ar-EG"/>
        </w:rPr>
        <w:t>leaves</w:t>
      </w:r>
      <w:r w:rsidRPr="00D54060">
        <w:rPr>
          <w:rFonts w:asciiTheme="majorBidi" w:eastAsia="Calibri" w:hAnsiTheme="majorBidi" w:cstheme="majorBidi"/>
          <w:i/>
          <w:iCs/>
          <w:lang w:bidi="ar-EG"/>
        </w:rPr>
        <w:t xml:space="preserve"> </w:t>
      </w:r>
      <w:r w:rsidRPr="00D54060">
        <w:rPr>
          <w:rFonts w:asciiTheme="majorBidi" w:eastAsia="Calibri" w:hAnsiTheme="majorBidi" w:cstheme="majorBidi"/>
          <w:lang w:bidi="ar-EG"/>
        </w:rPr>
        <w:t>extract</w:t>
      </w:r>
      <w:r>
        <w:rPr>
          <w:rFonts w:asciiTheme="majorBidi" w:eastAsia="Calibri" w:hAnsiTheme="majorBidi" w:cstheme="majorBidi"/>
          <w:lang w:bidi="ar-EG"/>
        </w:rPr>
        <w:t>.</w:t>
      </w:r>
    </w:p>
    <w:bookmarkEnd w:id="10"/>
    <w:p w14:paraId="39FC1F7E" w14:textId="77777777" w:rsidR="00686CF0" w:rsidRDefault="00686CF0" w:rsidP="00741452">
      <w:pPr>
        <w:spacing w:line="276" w:lineRule="auto"/>
        <w:ind w:hanging="840"/>
        <w:jc w:val="center"/>
        <w:rPr>
          <w:rFonts w:asciiTheme="majorBidi" w:hAnsiTheme="majorBidi" w:cstheme="majorBidi"/>
          <w:b/>
          <w:bCs/>
          <w:sz w:val="18"/>
          <w:szCs w:val="18"/>
          <w:lang w:bidi="ar-EG"/>
        </w:rPr>
      </w:pPr>
    </w:p>
    <w:p w14:paraId="0A1FC5AA" w14:textId="77777777" w:rsidR="00741452" w:rsidRDefault="00741452" w:rsidP="00741452">
      <w:pPr>
        <w:ind w:left="142"/>
        <w:jc w:val="center"/>
        <w:rPr>
          <w:rFonts w:asciiTheme="majorBidi" w:eastAsia="Calibri" w:hAnsiTheme="majorBidi" w:cstheme="majorBidi"/>
          <w:b/>
          <w:bCs/>
          <w:rtl/>
        </w:rPr>
      </w:pPr>
      <w:bookmarkStart w:id="11" w:name="_Hlk219611929"/>
    </w:p>
    <w:p w14:paraId="03A34561" w14:textId="77777777" w:rsidR="00741452" w:rsidRDefault="00741452" w:rsidP="00741452">
      <w:pPr>
        <w:ind w:left="142"/>
        <w:jc w:val="center"/>
        <w:rPr>
          <w:rFonts w:asciiTheme="majorBidi" w:eastAsia="Calibri" w:hAnsiTheme="majorBidi" w:cstheme="majorBidi"/>
          <w:b/>
          <w:bCs/>
          <w:rtl/>
        </w:rPr>
      </w:pPr>
    </w:p>
    <w:p w14:paraId="3E036C25" w14:textId="77777777" w:rsidR="00741452" w:rsidRDefault="00741452" w:rsidP="00741452">
      <w:pPr>
        <w:ind w:left="142"/>
        <w:jc w:val="center"/>
        <w:rPr>
          <w:rFonts w:asciiTheme="majorBidi" w:eastAsia="Calibri" w:hAnsiTheme="majorBidi" w:cstheme="majorBidi"/>
          <w:b/>
          <w:bCs/>
          <w:rtl/>
        </w:rPr>
      </w:pPr>
    </w:p>
    <w:p w14:paraId="2B51582C" w14:textId="77777777" w:rsidR="00741452" w:rsidRDefault="00741452" w:rsidP="003C447B">
      <w:pPr>
        <w:jc w:val="both"/>
        <w:rPr>
          <w:rFonts w:asciiTheme="majorBidi" w:eastAsia="Calibri" w:hAnsiTheme="majorBidi" w:cstheme="majorBidi"/>
          <w:b/>
          <w:bCs/>
          <w:rtl/>
        </w:rPr>
      </w:pPr>
    </w:p>
    <w:p w14:paraId="0D097321" w14:textId="77777777" w:rsidR="00741452" w:rsidRDefault="00741452" w:rsidP="00D31D4F">
      <w:pPr>
        <w:ind w:left="142"/>
        <w:jc w:val="both"/>
        <w:rPr>
          <w:rFonts w:asciiTheme="majorBidi" w:eastAsia="Calibri" w:hAnsiTheme="majorBidi" w:cstheme="majorBidi"/>
          <w:b/>
          <w:bCs/>
          <w:rtl/>
        </w:rPr>
      </w:pPr>
    </w:p>
    <w:p w14:paraId="1346782C" w14:textId="77777777" w:rsidR="00741452" w:rsidRDefault="00741452" w:rsidP="00D31D4F">
      <w:pPr>
        <w:ind w:left="142"/>
        <w:jc w:val="both"/>
        <w:rPr>
          <w:rFonts w:asciiTheme="majorBidi" w:eastAsia="Calibri" w:hAnsiTheme="majorBidi" w:cstheme="majorBidi"/>
          <w:b/>
          <w:bCs/>
          <w:rtl/>
        </w:rPr>
      </w:pPr>
    </w:p>
    <w:bookmarkEnd w:id="11"/>
    <w:p w14:paraId="52D66739" w14:textId="77777777" w:rsidR="000B5D6F" w:rsidRDefault="000B5D6F" w:rsidP="003C447B">
      <w:pPr>
        <w:jc w:val="both"/>
        <w:rPr>
          <w:rFonts w:asciiTheme="majorBidi" w:eastAsia="Calibri" w:hAnsiTheme="majorBidi" w:cstheme="majorBidi"/>
          <w:b/>
          <w:bCs/>
        </w:rPr>
      </w:pPr>
    </w:p>
    <w:p w14:paraId="4DCD4C43" w14:textId="77777777" w:rsidR="000B5D6F" w:rsidRDefault="000B5D6F" w:rsidP="000B5D6F">
      <w:pPr>
        <w:ind w:left="-810" w:firstLine="810"/>
        <w:jc w:val="both"/>
        <w:rPr>
          <w:rFonts w:asciiTheme="majorBidi" w:eastAsia="Calibri" w:hAnsiTheme="majorBidi" w:cstheme="majorBidi"/>
          <w:b/>
          <w:bCs/>
        </w:rPr>
      </w:pPr>
    </w:p>
    <w:p w14:paraId="1F4B7FC0" w14:textId="7A5072DC" w:rsidR="000B5D6F" w:rsidRDefault="000B5D6F" w:rsidP="000B5D6F">
      <w:pPr>
        <w:ind w:left="-810" w:firstLine="810"/>
        <w:jc w:val="both"/>
        <w:rPr>
          <w:rFonts w:asciiTheme="majorBidi" w:eastAsia="Calibri" w:hAnsiTheme="majorBidi" w:cstheme="majorBidi"/>
          <w:b/>
          <w:bCs/>
          <w:lang w:bidi="ar-EG"/>
        </w:rPr>
      </w:pPr>
      <w:r w:rsidRPr="009E19DD">
        <w:rPr>
          <w:rFonts w:asciiTheme="majorBidi" w:eastAsia="Calibri" w:hAnsiTheme="majorBidi" w:cstheme="majorBidi"/>
          <w:b/>
          <w:bCs/>
        </w:rPr>
        <w:t>Table (</w:t>
      </w:r>
      <w:r w:rsidR="00320726">
        <w:rPr>
          <w:rFonts w:asciiTheme="majorBidi" w:eastAsia="Calibri" w:hAnsiTheme="majorBidi" w:cstheme="majorBidi" w:hint="cs"/>
          <w:b/>
          <w:bCs/>
          <w:rtl/>
        </w:rPr>
        <w:t>2</w:t>
      </w:r>
      <w:r w:rsidRPr="009E19DD">
        <w:rPr>
          <w:rFonts w:asciiTheme="majorBidi" w:eastAsia="Calibri" w:hAnsiTheme="majorBidi" w:cstheme="majorBidi"/>
          <w:b/>
          <w:bCs/>
        </w:rPr>
        <w:t xml:space="preserve">): </w:t>
      </w:r>
      <w:r>
        <w:rPr>
          <w:rFonts w:asciiTheme="majorBidi" w:eastAsia="Calibri" w:hAnsiTheme="majorBidi" w:cstheme="majorBidi"/>
          <w:b/>
          <w:bCs/>
        </w:rPr>
        <w:t xml:space="preserve">Leukogram </w:t>
      </w:r>
      <w:r w:rsidRPr="0061144E">
        <w:rPr>
          <w:rFonts w:asciiTheme="majorBidi" w:eastAsia="Calibri" w:hAnsiTheme="majorBidi" w:cstheme="majorBidi"/>
          <w:b/>
          <w:bCs/>
        </w:rPr>
        <w:t>after repeated s</w:t>
      </w:r>
      <w:r w:rsidRPr="0061144E">
        <w:rPr>
          <w:rFonts w:asciiTheme="majorBidi" w:eastAsia="Calibri" w:hAnsiTheme="majorBidi" w:cstheme="majorBidi" w:hint="cs"/>
          <w:b/>
          <w:bCs/>
          <w:rtl/>
          <w:lang w:bidi="ar-EG"/>
        </w:rPr>
        <w:t>/</w:t>
      </w:r>
      <w:r w:rsidRPr="0061144E">
        <w:rPr>
          <w:rFonts w:asciiTheme="majorBidi" w:eastAsia="Calibri" w:hAnsiTheme="majorBidi" w:cstheme="majorBidi"/>
          <w:b/>
          <w:bCs/>
          <w:lang w:bidi="ar-EG"/>
        </w:rPr>
        <w:t>c injection of DMH to rats compared to that of different treatments</w:t>
      </w:r>
      <w:r>
        <w:rPr>
          <w:rFonts w:asciiTheme="majorBidi" w:eastAsia="Calibri" w:hAnsiTheme="majorBidi" w:cstheme="majorBidi"/>
          <w:b/>
          <w:bCs/>
          <w:lang w:bidi="ar-EG"/>
        </w:rPr>
        <w:t>.</w:t>
      </w:r>
    </w:p>
    <w:p w14:paraId="445FEFF0" w14:textId="77777777" w:rsidR="000B5D6F" w:rsidRPr="009E19DD" w:rsidRDefault="000B5D6F" w:rsidP="000B5D6F">
      <w:pPr>
        <w:ind w:left="-810" w:firstLine="810"/>
        <w:jc w:val="both"/>
        <w:rPr>
          <w:rFonts w:asciiTheme="majorBidi" w:hAnsiTheme="majorBidi" w:cstheme="majorBidi"/>
        </w:rPr>
      </w:pPr>
    </w:p>
    <w:tbl>
      <w:tblPr>
        <w:tblStyle w:val="TableGrid"/>
        <w:tblW w:w="5000" w:type="pct"/>
        <w:jc w:val="center"/>
        <w:tblLook w:val="04A0" w:firstRow="1" w:lastRow="0" w:firstColumn="1" w:lastColumn="0" w:noHBand="0" w:noVBand="1"/>
      </w:tblPr>
      <w:tblGrid>
        <w:gridCol w:w="2671"/>
        <w:gridCol w:w="1634"/>
        <w:gridCol w:w="1683"/>
        <w:gridCol w:w="1586"/>
        <w:gridCol w:w="1486"/>
      </w:tblGrid>
      <w:tr w:rsidR="00A825C3" w:rsidRPr="000B5D6F" w14:paraId="105F3A07" w14:textId="06DA87FC" w:rsidTr="00320726">
        <w:trPr>
          <w:trHeight w:val="686"/>
          <w:jc w:val="center"/>
        </w:trPr>
        <w:tc>
          <w:tcPr>
            <w:tcW w:w="1474" w:type="pct"/>
            <w:vAlign w:val="center"/>
          </w:tcPr>
          <w:p w14:paraId="2E70AFC9" w14:textId="77777777" w:rsidR="00A825C3" w:rsidRPr="000B5D6F" w:rsidRDefault="00A825C3" w:rsidP="00320726">
            <w:pPr>
              <w:jc w:val="center"/>
              <w:rPr>
                <w:rFonts w:asciiTheme="majorBidi" w:hAnsiTheme="majorBidi" w:cstheme="majorBidi"/>
                <w:b/>
                <w:bCs/>
                <w:sz w:val="20"/>
                <w:szCs w:val="20"/>
              </w:rPr>
            </w:pPr>
            <w:r w:rsidRPr="000B5D6F">
              <w:rPr>
                <w:rFonts w:asciiTheme="majorBidi" w:hAnsiTheme="majorBidi" w:cstheme="majorBidi"/>
                <w:b/>
                <w:bCs/>
                <w:sz w:val="20"/>
                <w:szCs w:val="20"/>
              </w:rPr>
              <w:t>Groups</w:t>
            </w:r>
          </w:p>
        </w:tc>
        <w:tc>
          <w:tcPr>
            <w:tcW w:w="902" w:type="pct"/>
            <w:vAlign w:val="center"/>
          </w:tcPr>
          <w:p w14:paraId="3414787E" w14:textId="77777777" w:rsidR="00A825C3" w:rsidRPr="000B5D6F" w:rsidRDefault="00A825C3" w:rsidP="00320726">
            <w:pPr>
              <w:jc w:val="center"/>
              <w:rPr>
                <w:rFonts w:asciiTheme="majorBidi" w:hAnsiTheme="majorBidi" w:cstheme="majorBidi"/>
                <w:b/>
                <w:bCs/>
                <w:sz w:val="20"/>
                <w:szCs w:val="20"/>
              </w:rPr>
            </w:pPr>
            <w:r w:rsidRPr="000B5D6F">
              <w:rPr>
                <w:rFonts w:asciiTheme="majorBidi" w:hAnsiTheme="majorBidi" w:cstheme="majorBidi"/>
                <w:b/>
                <w:bCs/>
                <w:sz w:val="20"/>
                <w:szCs w:val="20"/>
              </w:rPr>
              <w:t>Total leucocytic count (10</w:t>
            </w:r>
            <w:r w:rsidRPr="000B5D6F">
              <w:rPr>
                <w:rFonts w:asciiTheme="majorBidi" w:hAnsiTheme="majorBidi" w:cstheme="majorBidi"/>
                <w:b/>
                <w:bCs/>
                <w:sz w:val="20"/>
                <w:szCs w:val="20"/>
                <w:vertAlign w:val="superscript"/>
              </w:rPr>
              <w:t>9</w:t>
            </w:r>
            <w:r w:rsidRPr="000B5D6F">
              <w:rPr>
                <w:rFonts w:asciiTheme="majorBidi" w:hAnsiTheme="majorBidi" w:cstheme="majorBidi"/>
                <w:b/>
                <w:bCs/>
                <w:sz w:val="20"/>
                <w:szCs w:val="20"/>
              </w:rPr>
              <w:t>/L)</w:t>
            </w:r>
          </w:p>
        </w:tc>
        <w:tc>
          <w:tcPr>
            <w:tcW w:w="929" w:type="pct"/>
            <w:vAlign w:val="center"/>
          </w:tcPr>
          <w:p w14:paraId="116DA1DA" w14:textId="375DB156" w:rsidR="00A825C3" w:rsidRPr="000B5D6F" w:rsidRDefault="00A825C3" w:rsidP="00320726">
            <w:pPr>
              <w:jc w:val="center"/>
              <w:rPr>
                <w:rFonts w:asciiTheme="majorBidi" w:hAnsiTheme="majorBidi" w:cstheme="majorBidi"/>
                <w:b/>
                <w:bCs/>
              </w:rPr>
            </w:pPr>
            <w:r w:rsidRPr="000B5D6F">
              <w:rPr>
                <w:rFonts w:asciiTheme="majorBidi" w:hAnsiTheme="majorBidi" w:cstheme="majorBidi"/>
                <w:b/>
                <w:bCs/>
                <w:sz w:val="20"/>
                <w:szCs w:val="20"/>
              </w:rPr>
              <w:t>Neutrophils (10</w:t>
            </w:r>
            <w:r w:rsidRPr="000B5D6F">
              <w:rPr>
                <w:rFonts w:asciiTheme="majorBidi" w:hAnsiTheme="majorBidi" w:cstheme="majorBidi"/>
                <w:b/>
                <w:bCs/>
                <w:sz w:val="20"/>
                <w:szCs w:val="20"/>
                <w:vertAlign w:val="superscript"/>
              </w:rPr>
              <w:t>9</w:t>
            </w:r>
            <w:r w:rsidRPr="000B5D6F">
              <w:rPr>
                <w:rFonts w:asciiTheme="majorBidi" w:hAnsiTheme="majorBidi" w:cstheme="majorBidi"/>
                <w:b/>
                <w:bCs/>
                <w:sz w:val="20"/>
                <w:szCs w:val="20"/>
              </w:rPr>
              <w:t>/L)</w:t>
            </w:r>
          </w:p>
        </w:tc>
        <w:tc>
          <w:tcPr>
            <w:tcW w:w="875" w:type="pct"/>
            <w:vAlign w:val="center"/>
          </w:tcPr>
          <w:p w14:paraId="773C9D2A" w14:textId="2069048A" w:rsidR="00A825C3" w:rsidRPr="000B5D6F" w:rsidRDefault="00A825C3" w:rsidP="00320726">
            <w:pPr>
              <w:jc w:val="center"/>
              <w:rPr>
                <w:rFonts w:asciiTheme="majorBidi" w:hAnsiTheme="majorBidi" w:cstheme="majorBidi"/>
                <w:b/>
                <w:bCs/>
              </w:rPr>
            </w:pPr>
            <w:r w:rsidRPr="000B5D6F">
              <w:rPr>
                <w:rFonts w:asciiTheme="majorBidi" w:hAnsiTheme="majorBidi" w:cstheme="majorBidi"/>
                <w:b/>
                <w:bCs/>
                <w:sz w:val="20"/>
                <w:szCs w:val="20"/>
              </w:rPr>
              <w:t>Lymphocytes (109/L)</w:t>
            </w:r>
          </w:p>
        </w:tc>
        <w:tc>
          <w:tcPr>
            <w:tcW w:w="820" w:type="pct"/>
            <w:vAlign w:val="center"/>
          </w:tcPr>
          <w:p w14:paraId="089F7032" w14:textId="77DFE2DE" w:rsidR="00A825C3" w:rsidRPr="000B5D6F" w:rsidRDefault="00A825C3" w:rsidP="00320726">
            <w:pPr>
              <w:jc w:val="center"/>
              <w:rPr>
                <w:rFonts w:asciiTheme="majorBidi" w:hAnsiTheme="majorBidi" w:cstheme="majorBidi"/>
                <w:b/>
                <w:bCs/>
              </w:rPr>
            </w:pPr>
            <w:r w:rsidRPr="000B5D6F">
              <w:rPr>
                <w:rFonts w:asciiTheme="majorBidi" w:hAnsiTheme="majorBidi" w:cstheme="majorBidi"/>
                <w:b/>
                <w:bCs/>
                <w:sz w:val="20"/>
                <w:szCs w:val="20"/>
              </w:rPr>
              <w:t>Monocytes (109/L)</w:t>
            </w:r>
          </w:p>
        </w:tc>
      </w:tr>
      <w:tr w:rsidR="00A825C3" w:rsidRPr="000B5D6F" w14:paraId="4176886C" w14:textId="679FD0A1" w:rsidTr="00320726">
        <w:trPr>
          <w:trHeight w:val="668"/>
          <w:jc w:val="center"/>
        </w:trPr>
        <w:tc>
          <w:tcPr>
            <w:tcW w:w="1474" w:type="pct"/>
            <w:vAlign w:val="center"/>
          </w:tcPr>
          <w:p w14:paraId="3041DBE0" w14:textId="77777777" w:rsidR="00A825C3" w:rsidRPr="000B5D6F" w:rsidRDefault="00A825C3" w:rsidP="00320726">
            <w:pPr>
              <w:jc w:val="center"/>
              <w:rPr>
                <w:rFonts w:asciiTheme="majorBidi" w:hAnsiTheme="majorBidi" w:cstheme="majorBidi"/>
                <w:sz w:val="20"/>
                <w:szCs w:val="20"/>
              </w:rPr>
            </w:pPr>
            <w:r w:rsidRPr="000B5D6F">
              <w:rPr>
                <w:rFonts w:asciiTheme="majorBidi" w:hAnsiTheme="majorBidi" w:cstheme="majorBidi"/>
                <w:sz w:val="20"/>
                <w:szCs w:val="20"/>
              </w:rPr>
              <w:t>Negative control (isosaline orally, once daily for 6 weeks)</w:t>
            </w:r>
          </w:p>
        </w:tc>
        <w:tc>
          <w:tcPr>
            <w:tcW w:w="902" w:type="pct"/>
            <w:vAlign w:val="center"/>
          </w:tcPr>
          <w:p w14:paraId="699CDA7B" w14:textId="77777777" w:rsidR="00A825C3" w:rsidRPr="000B5D6F" w:rsidRDefault="00A825C3" w:rsidP="00320726">
            <w:pPr>
              <w:jc w:val="center"/>
              <w:rPr>
                <w:rFonts w:asciiTheme="majorBidi" w:hAnsiTheme="majorBidi" w:cstheme="majorBidi"/>
                <w:sz w:val="20"/>
                <w:szCs w:val="20"/>
              </w:rPr>
            </w:pPr>
            <w:r w:rsidRPr="000B5D6F">
              <w:rPr>
                <w:rFonts w:asciiTheme="majorBidi" w:hAnsiTheme="majorBidi" w:cstheme="majorBidi"/>
                <w:sz w:val="20"/>
                <w:szCs w:val="20"/>
              </w:rPr>
              <w:t>8.3 ± 0.34</w:t>
            </w:r>
          </w:p>
        </w:tc>
        <w:tc>
          <w:tcPr>
            <w:tcW w:w="929" w:type="pct"/>
            <w:vAlign w:val="center"/>
          </w:tcPr>
          <w:p w14:paraId="74D6A388" w14:textId="630F5C74"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4.4 ± 0.66</w:t>
            </w:r>
          </w:p>
        </w:tc>
        <w:tc>
          <w:tcPr>
            <w:tcW w:w="875" w:type="pct"/>
            <w:vAlign w:val="center"/>
          </w:tcPr>
          <w:p w14:paraId="50D6F833" w14:textId="5F5AA714"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7433 ± 373</w:t>
            </w:r>
          </w:p>
        </w:tc>
        <w:tc>
          <w:tcPr>
            <w:tcW w:w="820" w:type="pct"/>
            <w:vAlign w:val="center"/>
          </w:tcPr>
          <w:p w14:paraId="79139F9B" w14:textId="33C89B69"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460 ± 41</w:t>
            </w:r>
          </w:p>
        </w:tc>
      </w:tr>
      <w:tr w:rsidR="00A825C3" w:rsidRPr="000B5D6F" w14:paraId="4C97A2DA" w14:textId="00DEE577" w:rsidTr="00320726">
        <w:trPr>
          <w:trHeight w:val="888"/>
          <w:jc w:val="center"/>
        </w:trPr>
        <w:tc>
          <w:tcPr>
            <w:tcW w:w="1474" w:type="pct"/>
            <w:vAlign w:val="center"/>
          </w:tcPr>
          <w:p w14:paraId="7B5C7065" w14:textId="77777777" w:rsidR="00A825C3" w:rsidRPr="000B5D6F" w:rsidRDefault="00A825C3" w:rsidP="00320726">
            <w:pPr>
              <w:jc w:val="center"/>
              <w:rPr>
                <w:rFonts w:asciiTheme="majorBidi" w:hAnsiTheme="majorBidi" w:cstheme="majorBidi"/>
                <w:sz w:val="20"/>
                <w:szCs w:val="20"/>
              </w:rPr>
            </w:pPr>
            <w:r w:rsidRPr="000B5D6F">
              <w:rPr>
                <w:rFonts w:asciiTheme="majorBidi" w:hAnsiTheme="majorBidi" w:cstheme="majorBidi"/>
                <w:sz w:val="20"/>
                <w:szCs w:val="20"/>
              </w:rPr>
              <w:t>Positive control (DMH 40 mg/kg in 1mM EDTA, S.C, twice weekly for 6 weeks)</w:t>
            </w:r>
          </w:p>
        </w:tc>
        <w:tc>
          <w:tcPr>
            <w:tcW w:w="902" w:type="pct"/>
            <w:vAlign w:val="center"/>
          </w:tcPr>
          <w:p w14:paraId="2450D8BD" w14:textId="77777777" w:rsidR="00A825C3" w:rsidRPr="000B5D6F" w:rsidRDefault="00A825C3" w:rsidP="00320726">
            <w:pPr>
              <w:jc w:val="center"/>
              <w:rPr>
                <w:rFonts w:asciiTheme="majorBidi" w:hAnsiTheme="majorBidi" w:cstheme="majorBidi"/>
                <w:sz w:val="20"/>
                <w:szCs w:val="20"/>
                <w:vertAlign w:val="superscript"/>
              </w:rPr>
            </w:pPr>
            <w:r w:rsidRPr="000B5D6F">
              <w:rPr>
                <w:rFonts w:asciiTheme="majorBidi" w:hAnsiTheme="majorBidi" w:cstheme="majorBidi"/>
                <w:sz w:val="20"/>
                <w:szCs w:val="20"/>
              </w:rPr>
              <w:t>9.1 ± 0.85</w:t>
            </w:r>
          </w:p>
        </w:tc>
        <w:tc>
          <w:tcPr>
            <w:tcW w:w="929" w:type="pct"/>
            <w:vAlign w:val="center"/>
          </w:tcPr>
          <w:p w14:paraId="3A6AABB6" w14:textId="31FEC943"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8.3 ± 2.6</w:t>
            </w:r>
          </w:p>
        </w:tc>
        <w:tc>
          <w:tcPr>
            <w:tcW w:w="875" w:type="pct"/>
            <w:vAlign w:val="center"/>
          </w:tcPr>
          <w:p w14:paraId="31526F22" w14:textId="167BD912"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7017 ± 220</w:t>
            </w:r>
          </w:p>
        </w:tc>
        <w:tc>
          <w:tcPr>
            <w:tcW w:w="820" w:type="pct"/>
            <w:vAlign w:val="center"/>
          </w:tcPr>
          <w:p w14:paraId="0215A5EE" w14:textId="28435731"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1221 ± 435</w:t>
            </w:r>
          </w:p>
        </w:tc>
      </w:tr>
      <w:tr w:rsidR="00A825C3" w:rsidRPr="000B5D6F" w14:paraId="1A988DB8" w14:textId="138B4892" w:rsidTr="00320726">
        <w:trPr>
          <w:trHeight w:val="628"/>
          <w:jc w:val="center"/>
        </w:trPr>
        <w:tc>
          <w:tcPr>
            <w:tcW w:w="1474" w:type="pct"/>
            <w:vAlign w:val="center"/>
          </w:tcPr>
          <w:p w14:paraId="704F5704" w14:textId="77777777" w:rsidR="00A825C3" w:rsidRPr="000B5D6F" w:rsidRDefault="00A825C3" w:rsidP="00320726">
            <w:pPr>
              <w:jc w:val="center"/>
              <w:rPr>
                <w:rFonts w:asciiTheme="majorBidi" w:hAnsiTheme="majorBidi" w:cstheme="majorBidi"/>
                <w:sz w:val="20"/>
                <w:szCs w:val="20"/>
              </w:rPr>
            </w:pPr>
            <w:r w:rsidRPr="000B5D6F">
              <w:rPr>
                <w:rFonts w:asciiTheme="majorBidi" w:hAnsiTheme="majorBidi" w:cstheme="majorBidi"/>
                <w:sz w:val="20"/>
                <w:szCs w:val="20"/>
              </w:rPr>
              <w:t>Standard (5- FU, 50 mg/kg, ip once weekly for 6 weeks)</w:t>
            </w:r>
          </w:p>
        </w:tc>
        <w:tc>
          <w:tcPr>
            <w:tcW w:w="902" w:type="pct"/>
            <w:vAlign w:val="center"/>
          </w:tcPr>
          <w:p w14:paraId="2ECA1BC8" w14:textId="77777777" w:rsidR="00A825C3" w:rsidRPr="000B5D6F" w:rsidRDefault="00A825C3" w:rsidP="00320726">
            <w:pPr>
              <w:jc w:val="center"/>
              <w:rPr>
                <w:rFonts w:asciiTheme="majorBidi" w:hAnsiTheme="majorBidi" w:cstheme="majorBidi"/>
                <w:sz w:val="20"/>
                <w:szCs w:val="20"/>
                <w:vertAlign w:val="superscript"/>
              </w:rPr>
            </w:pPr>
            <w:r w:rsidRPr="000B5D6F">
              <w:rPr>
                <w:rFonts w:asciiTheme="majorBidi" w:hAnsiTheme="majorBidi" w:cstheme="majorBidi"/>
                <w:sz w:val="20"/>
                <w:szCs w:val="20"/>
              </w:rPr>
              <w:t>7.3 ± 0.55</w:t>
            </w:r>
          </w:p>
        </w:tc>
        <w:tc>
          <w:tcPr>
            <w:tcW w:w="929" w:type="pct"/>
            <w:vAlign w:val="center"/>
          </w:tcPr>
          <w:p w14:paraId="21C55E83" w14:textId="3A74A980"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5.8 ± 1.6</w:t>
            </w:r>
          </w:p>
        </w:tc>
        <w:tc>
          <w:tcPr>
            <w:tcW w:w="875" w:type="pct"/>
            <w:vAlign w:val="center"/>
          </w:tcPr>
          <w:p w14:paraId="7F990CD5" w14:textId="28975DE8"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6083 ± 296</w:t>
            </w:r>
          </w:p>
        </w:tc>
        <w:tc>
          <w:tcPr>
            <w:tcW w:w="820" w:type="pct"/>
            <w:vAlign w:val="center"/>
          </w:tcPr>
          <w:p w14:paraId="616BD559" w14:textId="51FA4EEB"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750 ± 271</w:t>
            </w:r>
          </w:p>
        </w:tc>
      </w:tr>
      <w:tr w:rsidR="00A825C3" w:rsidRPr="000B5D6F" w14:paraId="424DE58D" w14:textId="00E4B3C1" w:rsidTr="00320726">
        <w:trPr>
          <w:trHeight w:val="862"/>
          <w:jc w:val="center"/>
        </w:trPr>
        <w:tc>
          <w:tcPr>
            <w:tcW w:w="1474" w:type="pct"/>
            <w:vAlign w:val="center"/>
          </w:tcPr>
          <w:p w14:paraId="698178F3" w14:textId="77777777" w:rsidR="00A825C3" w:rsidRPr="000B5D6F" w:rsidRDefault="00A825C3" w:rsidP="00320726">
            <w:pPr>
              <w:jc w:val="center"/>
              <w:rPr>
                <w:rFonts w:asciiTheme="majorBidi" w:hAnsiTheme="majorBidi" w:cstheme="majorBidi"/>
                <w:sz w:val="20"/>
                <w:szCs w:val="20"/>
              </w:rPr>
            </w:pPr>
            <w:r w:rsidRPr="000B5D6F">
              <w:rPr>
                <w:rFonts w:asciiTheme="majorBidi" w:hAnsiTheme="majorBidi" w:cstheme="majorBidi"/>
                <w:i/>
                <w:iCs/>
                <w:sz w:val="20"/>
                <w:szCs w:val="20"/>
              </w:rPr>
              <w:t>VRE</w:t>
            </w:r>
            <w:r w:rsidRPr="000B5D6F">
              <w:rPr>
                <w:rFonts w:asciiTheme="majorBidi" w:hAnsiTheme="majorBidi" w:cstheme="majorBidi"/>
                <w:sz w:val="20"/>
                <w:szCs w:val="20"/>
              </w:rPr>
              <w:t>-SD treated group (</w:t>
            </w:r>
            <w:r w:rsidRPr="000B5D6F">
              <w:rPr>
                <w:rFonts w:asciiTheme="majorBidi" w:hAnsiTheme="majorBidi" w:cstheme="majorBidi"/>
                <w:i/>
                <w:iCs/>
                <w:sz w:val="20"/>
                <w:szCs w:val="20"/>
              </w:rPr>
              <w:t>VRE</w:t>
            </w:r>
            <w:r w:rsidRPr="000B5D6F">
              <w:rPr>
                <w:rFonts w:asciiTheme="majorBidi" w:hAnsiTheme="majorBidi" w:cstheme="majorBidi"/>
                <w:sz w:val="20"/>
                <w:szCs w:val="20"/>
              </w:rPr>
              <w:t>, 150 mg/kg, orally, once daily for 6 weeks)</w:t>
            </w:r>
          </w:p>
        </w:tc>
        <w:tc>
          <w:tcPr>
            <w:tcW w:w="902" w:type="pct"/>
            <w:vAlign w:val="center"/>
          </w:tcPr>
          <w:p w14:paraId="2709E975" w14:textId="77777777" w:rsidR="00A825C3" w:rsidRPr="000B5D6F" w:rsidRDefault="00A825C3" w:rsidP="00320726">
            <w:pPr>
              <w:jc w:val="center"/>
              <w:rPr>
                <w:rFonts w:asciiTheme="majorBidi" w:hAnsiTheme="majorBidi" w:cstheme="majorBidi"/>
                <w:sz w:val="20"/>
                <w:szCs w:val="20"/>
                <w:vertAlign w:val="superscript"/>
              </w:rPr>
            </w:pPr>
            <w:r w:rsidRPr="000B5D6F">
              <w:rPr>
                <w:rFonts w:asciiTheme="majorBidi" w:hAnsiTheme="majorBidi" w:cstheme="majorBidi"/>
                <w:sz w:val="20"/>
                <w:szCs w:val="20"/>
              </w:rPr>
              <w:t>7.3 ± 1.7</w:t>
            </w:r>
          </w:p>
        </w:tc>
        <w:tc>
          <w:tcPr>
            <w:tcW w:w="929" w:type="pct"/>
            <w:vAlign w:val="center"/>
          </w:tcPr>
          <w:p w14:paraId="220207BC" w14:textId="0AB26BB6"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5.3 ± 1.0</w:t>
            </w:r>
          </w:p>
        </w:tc>
        <w:tc>
          <w:tcPr>
            <w:tcW w:w="875" w:type="pct"/>
            <w:vAlign w:val="center"/>
          </w:tcPr>
          <w:p w14:paraId="47C160D7" w14:textId="79DACC87"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6302 ± 1575</w:t>
            </w:r>
          </w:p>
        </w:tc>
        <w:tc>
          <w:tcPr>
            <w:tcW w:w="820" w:type="pct"/>
            <w:vAlign w:val="center"/>
          </w:tcPr>
          <w:p w14:paraId="60D0AB02" w14:textId="59E545B6" w:rsidR="00A825C3" w:rsidRPr="000B5D6F" w:rsidRDefault="00A825C3" w:rsidP="00320726">
            <w:pPr>
              <w:jc w:val="center"/>
              <w:rPr>
                <w:rFonts w:asciiTheme="majorBidi" w:hAnsiTheme="majorBidi" w:cstheme="majorBidi"/>
              </w:rPr>
            </w:pPr>
            <w:r w:rsidRPr="000B5D6F">
              <w:rPr>
                <w:rFonts w:asciiTheme="majorBidi" w:hAnsiTheme="majorBidi" w:cstheme="majorBidi"/>
                <w:sz w:val="20"/>
                <w:szCs w:val="20"/>
              </w:rPr>
              <w:t>601 ± 88</w:t>
            </w:r>
          </w:p>
        </w:tc>
      </w:tr>
      <w:tr w:rsidR="00A825C3" w:rsidRPr="000B5D6F" w14:paraId="109F1EA1" w14:textId="403D58E6" w:rsidTr="00320726">
        <w:trPr>
          <w:trHeight w:val="588"/>
          <w:jc w:val="center"/>
        </w:trPr>
        <w:tc>
          <w:tcPr>
            <w:tcW w:w="1474" w:type="pct"/>
            <w:vAlign w:val="center"/>
          </w:tcPr>
          <w:p w14:paraId="7B2B1B01" w14:textId="10ABDBE2" w:rsidR="00A825C3" w:rsidRPr="00320726" w:rsidRDefault="00A825C3" w:rsidP="00320726">
            <w:pPr>
              <w:spacing w:after="160" w:line="278" w:lineRule="auto"/>
              <w:jc w:val="center"/>
              <w:rPr>
                <w:rFonts w:asciiTheme="majorBidi" w:hAnsiTheme="majorBidi" w:cstheme="majorBidi"/>
                <w:sz w:val="20"/>
                <w:szCs w:val="20"/>
              </w:rPr>
            </w:pPr>
            <w:r w:rsidRPr="00320726">
              <w:rPr>
                <w:rFonts w:asciiTheme="majorBidi" w:hAnsiTheme="majorBidi" w:cstheme="majorBidi"/>
                <w:i/>
                <w:iCs/>
                <w:sz w:val="20"/>
                <w:szCs w:val="20"/>
              </w:rPr>
              <w:t>VRE</w:t>
            </w:r>
            <w:r w:rsidRPr="00320726">
              <w:rPr>
                <w:rFonts w:asciiTheme="majorBidi" w:hAnsiTheme="majorBidi" w:cstheme="majorBidi"/>
                <w:sz w:val="20"/>
                <w:szCs w:val="20"/>
              </w:rPr>
              <w:t>-HD treated group (</w:t>
            </w:r>
            <w:r w:rsidRPr="00320726">
              <w:rPr>
                <w:rFonts w:asciiTheme="majorBidi" w:hAnsiTheme="majorBidi" w:cstheme="majorBidi"/>
                <w:i/>
                <w:iCs/>
                <w:sz w:val="20"/>
                <w:szCs w:val="20"/>
              </w:rPr>
              <w:t>VRE</w:t>
            </w:r>
            <w:r w:rsidRPr="00320726">
              <w:rPr>
                <w:rFonts w:asciiTheme="majorBidi" w:hAnsiTheme="majorBidi" w:cstheme="majorBidi"/>
                <w:sz w:val="20"/>
                <w:szCs w:val="20"/>
              </w:rPr>
              <w:t>, 300 mg/kg, orally,</w:t>
            </w:r>
            <w:r w:rsidR="00320726" w:rsidRPr="00320726">
              <w:rPr>
                <w:rFonts w:asciiTheme="majorBidi" w:hAnsiTheme="majorBidi" w:cstheme="majorBidi" w:hint="cs"/>
                <w:sz w:val="20"/>
                <w:szCs w:val="20"/>
                <w:rtl/>
              </w:rPr>
              <w:t xml:space="preserve"> </w:t>
            </w:r>
            <w:r w:rsidRPr="00320726">
              <w:rPr>
                <w:rFonts w:asciiTheme="majorBidi" w:hAnsiTheme="majorBidi" w:cstheme="majorBidi"/>
                <w:sz w:val="20"/>
                <w:szCs w:val="20"/>
              </w:rPr>
              <w:t>once daily</w:t>
            </w:r>
            <w:r w:rsidR="00320726">
              <w:rPr>
                <w:rFonts w:asciiTheme="majorBidi" w:hAnsiTheme="majorBidi" w:cstheme="majorBidi" w:hint="cs"/>
                <w:sz w:val="20"/>
                <w:szCs w:val="20"/>
                <w:rtl/>
              </w:rPr>
              <w:t xml:space="preserve"> </w:t>
            </w:r>
            <w:r w:rsidRPr="00320726">
              <w:rPr>
                <w:rFonts w:asciiTheme="majorBidi" w:hAnsiTheme="majorBidi" w:cstheme="majorBidi"/>
                <w:sz w:val="20"/>
                <w:szCs w:val="20"/>
              </w:rPr>
              <w:t>for 6 weeks)</w:t>
            </w:r>
          </w:p>
        </w:tc>
        <w:tc>
          <w:tcPr>
            <w:tcW w:w="902" w:type="pct"/>
            <w:vAlign w:val="center"/>
          </w:tcPr>
          <w:p w14:paraId="3FB7FE2F" w14:textId="35711DCA" w:rsidR="00A825C3" w:rsidRPr="00320726" w:rsidRDefault="00A825C3" w:rsidP="00320726">
            <w:pPr>
              <w:jc w:val="center"/>
              <w:rPr>
                <w:rFonts w:asciiTheme="majorBidi" w:hAnsiTheme="majorBidi" w:cstheme="majorBidi"/>
                <w:sz w:val="20"/>
                <w:szCs w:val="20"/>
              </w:rPr>
            </w:pPr>
            <w:r w:rsidRPr="00320726">
              <w:rPr>
                <w:rFonts w:asciiTheme="majorBidi" w:hAnsiTheme="majorBidi" w:cstheme="majorBidi"/>
                <w:sz w:val="20"/>
                <w:szCs w:val="20"/>
              </w:rPr>
              <w:t>6.2</w:t>
            </w:r>
            <w:r w:rsidR="00320726">
              <w:rPr>
                <w:rFonts w:asciiTheme="majorBidi" w:hAnsiTheme="majorBidi" w:cstheme="majorBidi" w:hint="cs"/>
                <w:sz w:val="20"/>
                <w:szCs w:val="20"/>
                <w:rtl/>
              </w:rPr>
              <w:t xml:space="preserve"> </w:t>
            </w:r>
            <w:r w:rsidRPr="00320726">
              <w:rPr>
                <w:rFonts w:asciiTheme="majorBidi" w:hAnsiTheme="majorBidi" w:cstheme="majorBidi"/>
                <w:sz w:val="20"/>
                <w:szCs w:val="20"/>
              </w:rPr>
              <w:t>±</w:t>
            </w:r>
            <w:r w:rsidR="00320726">
              <w:rPr>
                <w:rFonts w:asciiTheme="majorBidi" w:hAnsiTheme="majorBidi" w:cstheme="majorBidi" w:hint="cs"/>
                <w:sz w:val="20"/>
                <w:szCs w:val="20"/>
                <w:rtl/>
              </w:rPr>
              <w:t xml:space="preserve"> </w:t>
            </w:r>
            <w:r w:rsidRPr="00320726">
              <w:rPr>
                <w:rFonts w:asciiTheme="majorBidi" w:hAnsiTheme="majorBidi" w:cstheme="majorBidi"/>
                <w:sz w:val="20"/>
                <w:szCs w:val="20"/>
              </w:rPr>
              <w:t>0.26</w:t>
            </w:r>
          </w:p>
        </w:tc>
        <w:tc>
          <w:tcPr>
            <w:tcW w:w="929" w:type="pct"/>
            <w:vAlign w:val="center"/>
          </w:tcPr>
          <w:p w14:paraId="76C8D520" w14:textId="4BB03BE5" w:rsidR="00A825C3" w:rsidRDefault="00A825C3" w:rsidP="00320726">
            <w:pPr>
              <w:jc w:val="center"/>
              <w:rPr>
                <w:rFonts w:asciiTheme="majorBidi" w:hAnsiTheme="majorBidi" w:cstheme="majorBidi"/>
              </w:rPr>
            </w:pPr>
            <w:r w:rsidRPr="000B5D6F">
              <w:rPr>
                <w:rFonts w:asciiTheme="majorBidi" w:hAnsiTheme="majorBidi" w:cstheme="majorBidi"/>
                <w:sz w:val="20"/>
                <w:szCs w:val="20"/>
              </w:rPr>
              <w:t>5.4 ± 1.5</w:t>
            </w:r>
          </w:p>
        </w:tc>
        <w:tc>
          <w:tcPr>
            <w:tcW w:w="875" w:type="pct"/>
            <w:vAlign w:val="center"/>
          </w:tcPr>
          <w:p w14:paraId="64ED4C8B" w14:textId="42F6A5CB" w:rsidR="00A825C3" w:rsidRDefault="00A825C3" w:rsidP="00320726">
            <w:pPr>
              <w:jc w:val="center"/>
              <w:rPr>
                <w:rFonts w:asciiTheme="majorBidi" w:hAnsiTheme="majorBidi" w:cstheme="majorBidi"/>
              </w:rPr>
            </w:pPr>
            <w:r w:rsidRPr="000B5D6F">
              <w:rPr>
                <w:rFonts w:asciiTheme="majorBidi" w:hAnsiTheme="majorBidi" w:cstheme="majorBidi"/>
                <w:sz w:val="20"/>
                <w:szCs w:val="20"/>
              </w:rPr>
              <w:t>5253 ± 233</w:t>
            </w:r>
          </w:p>
        </w:tc>
        <w:tc>
          <w:tcPr>
            <w:tcW w:w="820" w:type="pct"/>
            <w:vAlign w:val="center"/>
          </w:tcPr>
          <w:p w14:paraId="0C884773" w14:textId="0B434247" w:rsidR="00A825C3" w:rsidRDefault="00A825C3" w:rsidP="00320726">
            <w:pPr>
              <w:jc w:val="center"/>
              <w:rPr>
                <w:rFonts w:asciiTheme="majorBidi" w:hAnsiTheme="majorBidi" w:cstheme="majorBidi"/>
              </w:rPr>
            </w:pPr>
            <w:r w:rsidRPr="000B5D6F">
              <w:rPr>
                <w:rFonts w:asciiTheme="majorBidi" w:hAnsiTheme="majorBidi" w:cstheme="majorBidi"/>
                <w:sz w:val="20"/>
                <w:szCs w:val="20"/>
              </w:rPr>
              <w:t>633 ± 166</w:t>
            </w:r>
          </w:p>
        </w:tc>
      </w:tr>
    </w:tbl>
    <w:p w14:paraId="416C26F7" w14:textId="77777777" w:rsidR="000B5D6F" w:rsidRPr="009E19DD" w:rsidRDefault="000B5D6F" w:rsidP="000B5D6F">
      <w:pPr>
        <w:jc w:val="both"/>
        <w:rPr>
          <w:rFonts w:asciiTheme="majorBidi" w:eastAsia="Calibri" w:hAnsiTheme="majorBidi" w:cstheme="majorBidi"/>
        </w:rPr>
      </w:pPr>
    </w:p>
    <w:p w14:paraId="6D1FBC47" w14:textId="77777777" w:rsidR="000B5D6F" w:rsidRPr="00934770" w:rsidRDefault="000B5D6F" w:rsidP="000B5D6F">
      <w:pPr>
        <w:jc w:val="both"/>
        <w:rPr>
          <w:rFonts w:asciiTheme="majorBidi" w:eastAsia="Calibri" w:hAnsiTheme="majorBidi" w:cstheme="majorBidi"/>
          <w:i/>
          <w:iCs/>
          <w:lang w:bidi="ar-EG"/>
        </w:rPr>
      </w:pPr>
      <w:r w:rsidRPr="009E19DD">
        <w:rPr>
          <w:rFonts w:asciiTheme="majorBidi" w:eastAsia="Calibri" w:hAnsiTheme="majorBidi" w:cstheme="majorBidi"/>
        </w:rPr>
        <w:t xml:space="preserve">Values are presented as means ± SE of 4 rats/group. Means within a column with different letter superscripts are significantly different (P </w:t>
      </w:r>
      <w:r w:rsidRPr="009E19DD">
        <w:rPr>
          <w:rFonts w:asciiTheme="majorBidi" w:hAnsiTheme="majorBidi" w:cstheme="majorBidi"/>
        </w:rPr>
        <w:t>value ≤ 0.05</w:t>
      </w:r>
      <w:r w:rsidRPr="009E19DD">
        <w:rPr>
          <w:rFonts w:asciiTheme="majorBidi" w:eastAsia="Calibri" w:hAnsiTheme="majorBidi" w:cstheme="majorBidi"/>
        </w:rPr>
        <w:t>, ANOVA followed by Tukey’s post hoc test).</w:t>
      </w:r>
      <w:r w:rsidRPr="00934770">
        <w:rPr>
          <w:rFonts w:asciiTheme="majorBidi" w:eastAsia="Calibri" w:hAnsiTheme="majorBidi" w:cstheme="majorBidi"/>
        </w:rPr>
        <w:t xml:space="preserve"> </w:t>
      </w:r>
      <w:r>
        <w:rPr>
          <w:rFonts w:asciiTheme="majorBidi" w:eastAsia="Calibri" w:hAnsiTheme="majorBidi" w:cstheme="majorBidi"/>
        </w:rPr>
        <w:t>RBCs, Red blood cells</w:t>
      </w:r>
      <w:r>
        <w:rPr>
          <w:rFonts w:asciiTheme="majorBidi" w:eastAsia="Calibri" w:hAnsiTheme="majorBidi" w:cstheme="majorBidi"/>
          <w:lang w:bidi="ar-EG"/>
        </w:rPr>
        <w:t xml:space="preserve">; Hemoglobin; Hematocrit; DMH, 1,1dimethyle hydrazine; 5-FU, 5- Fluro Uracil; </w:t>
      </w:r>
      <w:r w:rsidRPr="00D54060">
        <w:rPr>
          <w:rFonts w:asciiTheme="majorBidi" w:eastAsia="Calibri" w:hAnsiTheme="majorBidi" w:cstheme="majorBidi"/>
          <w:i/>
          <w:iCs/>
          <w:lang w:bidi="ar-EG"/>
        </w:rPr>
        <w:t>VRE</w:t>
      </w:r>
      <w:r>
        <w:rPr>
          <w:rFonts w:asciiTheme="majorBidi" w:eastAsia="Calibri" w:hAnsiTheme="majorBidi" w:cstheme="majorBidi"/>
          <w:lang w:bidi="ar-EG"/>
        </w:rPr>
        <w:t xml:space="preserve">-SD, rats treated with small dose of </w:t>
      </w:r>
      <w:r w:rsidRPr="00D54060">
        <w:rPr>
          <w:rFonts w:asciiTheme="majorBidi" w:eastAsia="Calibri" w:hAnsiTheme="majorBidi" w:cstheme="majorBidi"/>
          <w:i/>
          <w:iCs/>
          <w:lang w:bidi="ar-EG"/>
        </w:rPr>
        <w:t>Vinca roseus leaves</w:t>
      </w:r>
      <w:r>
        <w:rPr>
          <w:rFonts w:asciiTheme="majorBidi" w:eastAsia="Calibri" w:hAnsiTheme="majorBidi" w:cstheme="majorBidi"/>
          <w:lang w:bidi="ar-EG"/>
        </w:rPr>
        <w:t xml:space="preserve"> extract; </w:t>
      </w:r>
      <w:r w:rsidRPr="00D54060">
        <w:rPr>
          <w:rFonts w:asciiTheme="majorBidi" w:eastAsia="Calibri" w:hAnsiTheme="majorBidi" w:cstheme="majorBidi"/>
          <w:i/>
          <w:iCs/>
          <w:lang w:bidi="ar-EG"/>
        </w:rPr>
        <w:t>VRE</w:t>
      </w:r>
      <w:r>
        <w:rPr>
          <w:rFonts w:asciiTheme="majorBidi" w:eastAsia="Calibri" w:hAnsiTheme="majorBidi" w:cstheme="majorBidi"/>
          <w:lang w:bidi="ar-EG"/>
        </w:rPr>
        <w:t xml:space="preserve">-HD, rats treated with high dose of </w:t>
      </w:r>
      <w:r w:rsidRPr="00D54060">
        <w:rPr>
          <w:rFonts w:asciiTheme="majorBidi" w:eastAsia="Calibri" w:hAnsiTheme="majorBidi" w:cstheme="majorBidi"/>
          <w:i/>
          <w:iCs/>
          <w:lang w:bidi="ar-EG"/>
        </w:rPr>
        <w:t xml:space="preserve">Vinca roseus leaves </w:t>
      </w:r>
      <w:r w:rsidRPr="00D54060">
        <w:rPr>
          <w:rFonts w:asciiTheme="majorBidi" w:eastAsia="Calibri" w:hAnsiTheme="majorBidi" w:cstheme="majorBidi"/>
          <w:lang w:bidi="ar-EG"/>
        </w:rPr>
        <w:t>extract</w:t>
      </w:r>
      <w:r>
        <w:rPr>
          <w:rFonts w:asciiTheme="majorBidi" w:eastAsia="Calibri" w:hAnsiTheme="majorBidi" w:cstheme="majorBidi"/>
          <w:lang w:bidi="ar-EG"/>
        </w:rPr>
        <w:t xml:space="preserve">. </w:t>
      </w:r>
    </w:p>
    <w:p w14:paraId="2D7F4B1F" w14:textId="77777777" w:rsidR="000B5D6F" w:rsidRPr="009E19DD" w:rsidRDefault="000B5D6F" w:rsidP="000B5D6F">
      <w:pPr>
        <w:jc w:val="both"/>
        <w:rPr>
          <w:rFonts w:asciiTheme="majorBidi" w:eastAsia="Calibri" w:hAnsiTheme="majorBidi" w:cstheme="majorBidi"/>
        </w:rPr>
      </w:pPr>
    </w:p>
    <w:p w14:paraId="266A03D2" w14:textId="2E5255FE" w:rsidR="000B5D6F" w:rsidRDefault="000B5D6F" w:rsidP="000B5D6F">
      <w:pPr>
        <w:jc w:val="both"/>
        <w:rPr>
          <w:rFonts w:asciiTheme="majorBidi" w:eastAsia="Calibri" w:hAnsiTheme="majorBidi" w:cstheme="majorBidi"/>
          <w:lang w:bidi="ar-EG"/>
        </w:rPr>
      </w:pPr>
      <w:r>
        <w:rPr>
          <w:rFonts w:asciiTheme="majorBidi" w:eastAsia="Calibri" w:hAnsiTheme="majorBidi" w:cstheme="majorBidi"/>
          <w:lang w:bidi="ar-EG"/>
        </w:rPr>
        <w:t xml:space="preserve">. </w:t>
      </w:r>
    </w:p>
    <w:p w14:paraId="7F0F454C" w14:textId="77777777" w:rsidR="000B5D6F" w:rsidRDefault="000B5D6F" w:rsidP="000B5D6F">
      <w:pPr>
        <w:jc w:val="both"/>
        <w:rPr>
          <w:rFonts w:asciiTheme="majorBidi" w:eastAsia="Calibri" w:hAnsiTheme="majorBidi" w:cstheme="majorBidi"/>
          <w:lang w:bidi="ar-EG"/>
        </w:rPr>
      </w:pPr>
    </w:p>
    <w:p w14:paraId="01941121" w14:textId="5C24109B" w:rsidR="000B5D6F" w:rsidRDefault="000B5D6F" w:rsidP="003C447B">
      <w:pPr>
        <w:jc w:val="both"/>
        <w:rPr>
          <w:rFonts w:asciiTheme="majorBidi" w:eastAsia="Calibri" w:hAnsiTheme="majorBidi" w:cstheme="majorBidi"/>
          <w:b/>
          <w:bCs/>
          <w:lang w:bidi="ar-EG"/>
        </w:rPr>
      </w:pPr>
      <w:bookmarkStart w:id="12" w:name="_Hlk219612630"/>
      <w:r w:rsidRPr="000B5D6F">
        <w:rPr>
          <w:rFonts w:asciiTheme="majorBidi" w:eastAsia="Calibri" w:hAnsiTheme="majorBidi" w:cstheme="majorBidi"/>
          <w:b/>
          <w:bCs/>
        </w:rPr>
        <w:t>Table (</w:t>
      </w:r>
      <w:r w:rsidR="00320726">
        <w:rPr>
          <w:rFonts w:asciiTheme="majorBidi" w:eastAsia="Calibri" w:hAnsiTheme="majorBidi" w:cstheme="majorBidi"/>
          <w:b/>
          <w:bCs/>
        </w:rPr>
        <w:t>3</w:t>
      </w:r>
      <w:r w:rsidRPr="000B5D6F">
        <w:rPr>
          <w:rFonts w:asciiTheme="majorBidi" w:eastAsia="Calibri" w:hAnsiTheme="majorBidi" w:cstheme="majorBidi"/>
          <w:b/>
          <w:bCs/>
        </w:rPr>
        <w:t>): platelet count and indices after repeated s</w:t>
      </w:r>
      <w:r w:rsidRPr="000B5D6F">
        <w:rPr>
          <w:rFonts w:asciiTheme="majorBidi" w:eastAsia="Calibri" w:hAnsiTheme="majorBidi" w:cstheme="majorBidi" w:hint="cs"/>
          <w:b/>
          <w:bCs/>
          <w:rtl/>
          <w:lang w:bidi="ar-EG"/>
        </w:rPr>
        <w:t>/</w:t>
      </w:r>
      <w:r w:rsidRPr="000B5D6F">
        <w:rPr>
          <w:rFonts w:asciiTheme="majorBidi" w:eastAsia="Calibri" w:hAnsiTheme="majorBidi" w:cstheme="majorBidi"/>
          <w:b/>
          <w:bCs/>
          <w:lang w:bidi="ar-EG"/>
        </w:rPr>
        <w:t>c injection of DMH to rats compared to that of different treatments.</w:t>
      </w:r>
    </w:p>
    <w:p w14:paraId="4F59E474" w14:textId="77777777" w:rsidR="000B5D6F" w:rsidRPr="000B5D6F" w:rsidRDefault="000B5D6F" w:rsidP="000B5D6F">
      <w:pPr>
        <w:ind w:left="-810" w:firstLine="810"/>
        <w:jc w:val="both"/>
        <w:rPr>
          <w:rFonts w:asciiTheme="majorBidi" w:hAnsiTheme="majorBidi" w:cstheme="majorBidi"/>
        </w:rPr>
      </w:pPr>
    </w:p>
    <w:tbl>
      <w:tblPr>
        <w:tblStyle w:val="TableGrid"/>
        <w:tblW w:w="5000" w:type="pct"/>
        <w:jc w:val="center"/>
        <w:tblLook w:val="04A0" w:firstRow="1" w:lastRow="0" w:firstColumn="1" w:lastColumn="0" w:noHBand="0" w:noVBand="1"/>
      </w:tblPr>
      <w:tblGrid>
        <w:gridCol w:w="4067"/>
        <w:gridCol w:w="2037"/>
        <w:gridCol w:w="1602"/>
        <w:gridCol w:w="1354"/>
      </w:tblGrid>
      <w:tr w:rsidR="000B5D6F" w:rsidRPr="000B5D6F" w14:paraId="05FE2D3D" w14:textId="77777777" w:rsidTr="00ED624D">
        <w:trPr>
          <w:jc w:val="center"/>
        </w:trPr>
        <w:tc>
          <w:tcPr>
            <w:tcW w:w="2245" w:type="pct"/>
            <w:vAlign w:val="center"/>
          </w:tcPr>
          <w:bookmarkEnd w:id="12"/>
          <w:p w14:paraId="2861C1D5" w14:textId="77777777" w:rsidR="000B5D6F" w:rsidRPr="000B5D6F" w:rsidRDefault="000B5D6F" w:rsidP="000B5D6F">
            <w:pPr>
              <w:jc w:val="center"/>
              <w:rPr>
                <w:rFonts w:asciiTheme="majorBidi" w:hAnsiTheme="majorBidi" w:cstheme="majorBidi"/>
                <w:b/>
                <w:bCs/>
                <w:sz w:val="20"/>
                <w:szCs w:val="20"/>
              </w:rPr>
            </w:pPr>
            <w:r w:rsidRPr="000B5D6F">
              <w:rPr>
                <w:rFonts w:asciiTheme="majorBidi" w:hAnsiTheme="majorBidi" w:cstheme="majorBidi"/>
                <w:b/>
                <w:bCs/>
                <w:sz w:val="20"/>
                <w:szCs w:val="20"/>
              </w:rPr>
              <w:t>Groups</w:t>
            </w:r>
          </w:p>
        </w:tc>
        <w:tc>
          <w:tcPr>
            <w:tcW w:w="1124" w:type="pct"/>
            <w:vAlign w:val="center"/>
          </w:tcPr>
          <w:p w14:paraId="4955CD9D" w14:textId="77777777" w:rsidR="000B5D6F" w:rsidRPr="000B5D6F" w:rsidRDefault="000B5D6F" w:rsidP="000B5D6F">
            <w:pPr>
              <w:jc w:val="center"/>
              <w:rPr>
                <w:rFonts w:asciiTheme="majorBidi" w:hAnsiTheme="majorBidi" w:cstheme="majorBidi"/>
                <w:b/>
                <w:bCs/>
                <w:sz w:val="20"/>
                <w:szCs w:val="20"/>
              </w:rPr>
            </w:pPr>
            <w:bookmarkStart w:id="13" w:name="_Hlk217885448"/>
            <w:r w:rsidRPr="000B5D6F">
              <w:rPr>
                <w:rFonts w:asciiTheme="majorBidi" w:hAnsiTheme="majorBidi" w:cstheme="majorBidi"/>
                <w:b/>
                <w:bCs/>
                <w:sz w:val="20"/>
                <w:szCs w:val="20"/>
              </w:rPr>
              <w:t xml:space="preserve">Platelets count </w:t>
            </w:r>
            <w:bookmarkEnd w:id="13"/>
            <w:r w:rsidRPr="000B5D6F">
              <w:rPr>
                <w:rFonts w:asciiTheme="majorBidi" w:hAnsiTheme="majorBidi" w:cstheme="majorBidi"/>
                <w:b/>
                <w:bCs/>
                <w:sz w:val="20"/>
                <w:szCs w:val="20"/>
              </w:rPr>
              <w:t>(103/cmm)</w:t>
            </w:r>
          </w:p>
        </w:tc>
        <w:tc>
          <w:tcPr>
            <w:tcW w:w="884" w:type="pct"/>
            <w:vAlign w:val="center"/>
          </w:tcPr>
          <w:p w14:paraId="7BBDDF14" w14:textId="77777777" w:rsidR="000B5D6F" w:rsidRPr="000B5D6F" w:rsidRDefault="000B5D6F" w:rsidP="000B5D6F">
            <w:pPr>
              <w:jc w:val="center"/>
              <w:rPr>
                <w:rFonts w:asciiTheme="majorBidi" w:hAnsiTheme="majorBidi" w:cstheme="majorBidi"/>
                <w:b/>
                <w:bCs/>
                <w:sz w:val="20"/>
                <w:szCs w:val="20"/>
              </w:rPr>
            </w:pPr>
            <w:r w:rsidRPr="000B5D6F">
              <w:rPr>
                <w:rFonts w:asciiTheme="majorBidi" w:hAnsiTheme="majorBidi" w:cstheme="majorBidi"/>
                <w:b/>
                <w:bCs/>
                <w:sz w:val="20"/>
                <w:szCs w:val="20"/>
              </w:rPr>
              <w:t>PCT (%)</w:t>
            </w:r>
          </w:p>
        </w:tc>
        <w:tc>
          <w:tcPr>
            <w:tcW w:w="747" w:type="pct"/>
            <w:vAlign w:val="center"/>
          </w:tcPr>
          <w:p w14:paraId="3E23FF19" w14:textId="77777777" w:rsidR="000B5D6F" w:rsidRPr="000B5D6F" w:rsidRDefault="000B5D6F" w:rsidP="000B5D6F">
            <w:pPr>
              <w:jc w:val="center"/>
              <w:rPr>
                <w:rFonts w:asciiTheme="majorBidi" w:hAnsiTheme="majorBidi" w:cstheme="majorBidi"/>
                <w:b/>
                <w:bCs/>
                <w:sz w:val="20"/>
                <w:szCs w:val="20"/>
              </w:rPr>
            </w:pPr>
            <w:r w:rsidRPr="000B5D6F">
              <w:rPr>
                <w:rFonts w:asciiTheme="majorBidi" w:hAnsiTheme="majorBidi" w:cstheme="majorBidi"/>
                <w:b/>
                <w:bCs/>
                <w:sz w:val="20"/>
                <w:szCs w:val="20"/>
              </w:rPr>
              <w:t>MPV (fL)</w:t>
            </w:r>
          </w:p>
        </w:tc>
      </w:tr>
      <w:tr w:rsidR="000B5D6F" w:rsidRPr="000B5D6F" w14:paraId="5949FD20" w14:textId="77777777" w:rsidTr="000B5D6F">
        <w:trPr>
          <w:trHeight w:val="431"/>
          <w:jc w:val="center"/>
        </w:trPr>
        <w:tc>
          <w:tcPr>
            <w:tcW w:w="2245" w:type="pct"/>
            <w:vAlign w:val="center"/>
          </w:tcPr>
          <w:p w14:paraId="031A37C2"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Negative control (isosaline orally, once daily for 6 weeks)</w:t>
            </w:r>
          </w:p>
        </w:tc>
        <w:tc>
          <w:tcPr>
            <w:tcW w:w="1124" w:type="pct"/>
            <w:vAlign w:val="center"/>
          </w:tcPr>
          <w:p w14:paraId="1FD9C29A"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531 ± 45</w:t>
            </w:r>
          </w:p>
        </w:tc>
        <w:tc>
          <w:tcPr>
            <w:tcW w:w="884" w:type="pct"/>
            <w:vAlign w:val="center"/>
          </w:tcPr>
          <w:p w14:paraId="000B5F79"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0.34 ± 0.032</w:t>
            </w:r>
          </w:p>
        </w:tc>
        <w:tc>
          <w:tcPr>
            <w:tcW w:w="747" w:type="pct"/>
            <w:vAlign w:val="center"/>
          </w:tcPr>
          <w:p w14:paraId="4F5A610D"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6.4 ± 0.12</w:t>
            </w:r>
          </w:p>
        </w:tc>
      </w:tr>
      <w:tr w:rsidR="000B5D6F" w:rsidRPr="000B5D6F" w14:paraId="39D64A02" w14:textId="77777777" w:rsidTr="000B5D6F">
        <w:trPr>
          <w:trHeight w:val="523"/>
          <w:jc w:val="center"/>
        </w:trPr>
        <w:tc>
          <w:tcPr>
            <w:tcW w:w="2245" w:type="pct"/>
            <w:vAlign w:val="center"/>
          </w:tcPr>
          <w:p w14:paraId="06808E18"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Positive control (DMH 40 mg/kg in 1mM EDTA, S.C, twice weekly for 6 weeks)</w:t>
            </w:r>
          </w:p>
        </w:tc>
        <w:tc>
          <w:tcPr>
            <w:tcW w:w="1124" w:type="pct"/>
            <w:vAlign w:val="center"/>
          </w:tcPr>
          <w:p w14:paraId="0CD7DD8D" w14:textId="77777777" w:rsidR="000B5D6F" w:rsidRPr="000B5D6F" w:rsidRDefault="000B5D6F" w:rsidP="000B5D6F">
            <w:pPr>
              <w:jc w:val="center"/>
              <w:rPr>
                <w:rFonts w:asciiTheme="majorBidi" w:hAnsiTheme="majorBidi" w:cstheme="majorBidi"/>
                <w:sz w:val="20"/>
                <w:szCs w:val="20"/>
                <w:vertAlign w:val="superscript"/>
              </w:rPr>
            </w:pPr>
            <w:r w:rsidRPr="000B5D6F">
              <w:rPr>
                <w:rFonts w:asciiTheme="majorBidi" w:hAnsiTheme="majorBidi" w:cstheme="majorBidi"/>
                <w:sz w:val="20"/>
                <w:szCs w:val="20"/>
              </w:rPr>
              <w:t>621 ± 88</w:t>
            </w:r>
          </w:p>
        </w:tc>
        <w:tc>
          <w:tcPr>
            <w:tcW w:w="884" w:type="pct"/>
            <w:vAlign w:val="center"/>
          </w:tcPr>
          <w:p w14:paraId="505B31DA"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0.39 ± 0.045</w:t>
            </w:r>
          </w:p>
        </w:tc>
        <w:tc>
          <w:tcPr>
            <w:tcW w:w="747" w:type="pct"/>
            <w:vAlign w:val="center"/>
          </w:tcPr>
          <w:p w14:paraId="55946AE9"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6.4 ± 0.19</w:t>
            </w:r>
          </w:p>
        </w:tc>
      </w:tr>
      <w:tr w:rsidR="000B5D6F" w:rsidRPr="000B5D6F" w14:paraId="738C8E67" w14:textId="77777777" w:rsidTr="000B5D6F">
        <w:trPr>
          <w:trHeight w:val="417"/>
          <w:jc w:val="center"/>
        </w:trPr>
        <w:tc>
          <w:tcPr>
            <w:tcW w:w="2245" w:type="pct"/>
            <w:vAlign w:val="center"/>
          </w:tcPr>
          <w:p w14:paraId="6CE1EEA3"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Standard (5- FU, 50 mg/kg, ip once weekly for 6 weeks)</w:t>
            </w:r>
          </w:p>
        </w:tc>
        <w:tc>
          <w:tcPr>
            <w:tcW w:w="1124" w:type="pct"/>
            <w:vAlign w:val="center"/>
          </w:tcPr>
          <w:p w14:paraId="328CE118" w14:textId="77777777" w:rsidR="000B5D6F" w:rsidRPr="000B5D6F" w:rsidRDefault="000B5D6F" w:rsidP="000B5D6F">
            <w:pPr>
              <w:jc w:val="center"/>
              <w:rPr>
                <w:rFonts w:asciiTheme="majorBidi" w:hAnsiTheme="majorBidi" w:cstheme="majorBidi"/>
                <w:sz w:val="20"/>
                <w:szCs w:val="20"/>
                <w:vertAlign w:val="superscript"/>
              </w:rPr>
            </w:pPr>
            <w:r w:rsidRPr="000B5D6F">
              <w:rPr>
                <w:rFonts w:asciiTheme="majorBidi" w:hAnsiTheme="majorBidi" w:cstheme="majorBidi"/>
                <w:sz w:val="20"/>
                <w:szCs w:val="20"/>
              </w:rPr>
              <w:t>773 ± 81</w:t>
            </w:r>
          </w:p>
        </w:tc>
        <w:tc>
          <w:tcPr>
            <w:tcW w:w="884" w:type="pct"/>
            <w:vAlign w:val="center"/>
          </w:tcPr>
          <w:p w14:paraId="61A4358D"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0.51 ± 0.043</w:t>
            </w:r>
          </w:p>
        </w:tc>
        <w:tc>
          <w:tcPr>
            <w:tcW w:w="747" w:type="pct"/>
            <w:vAlign w:val="center"/>
          </w:tcPr>
          <w:p w14:paraId="73A74846"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6.7 ± 0.33</w:t>
            </w:r>
          </w:p>
        </w:tc>
      </w:tr>
      <w:tr w:rsidR="000B5D6F" w:rsidRPr="000B5D6F" w14:paraId="22AED073" w14:textId="77777777" w:rsidTr="00ED624D">
        <w:trPr>
          <w:trHeight w:val="692"/>
          <w:jc w:val="center"/>
        </w:trPr>
        <w:tc>
          <w:tcPr>
            <w:tcW w:w="2245" w:type="pct"/>
            <w:vAlign w:val="center"/>
          </w:tcPr>
          <w:p w14:paraId="723FF1B0"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i/>
                <w:iCs/>
                <w:sz w:val="20"/>
                <w:szCs w:val="20"/>
              </w:rPr>
              <w:t>VRE</w:t>
            </w:r>
            <w:r w:rsidRPr="000B5D6F">
              <w:rPr>
                <w:rFonts w:asciiTheme="majorBidi" w:hAnsiTheme="majorBidi" w:cstheme="majorBidi"/>
                <w:sz w:val="20"/>
                <w:szCs w:val="20"/>
              </w:rPr>
              <w:t>-SD treated group (</w:t>
            </w:r>
            <w:r w:rsidRPr="000B5D6F">
              <w:rPr>
                <w:rFonts w:asciiTheme="majorBidi" w:hAnsiTheme="majorBidi" w:cstheme="majorBidi"/>
                <w:i/>
                <w:iCs/>
                <w:sz w:val="20"/>
                <w:szCs w:val="20"/>
              </w:rPr>
              <w:t>VRE</w:t>
            </w:r>
            <w:r w:rsidRPr="000B5D6F">
              <w:rPr>
                <w:rFonts w:asciiTheme="majorBidi" w:hAnsiTheme="majorBidi" w:cstheme="majorBidi"/>
                <w:sz w:val="20"/>
                <w:szCs w:val="20"/>
              </w:rPr>
              <w:t>, 150 mg/kg, orally, once daily for 6 weeks)</w:t>
            </w:r>
          </w:p>
        </w:tc>
        <w:tc>
          <w:tcPr>
            <w:tcW w:w="1124" w:type="pct"/>
            <w:vAlign w:val="center"/>
          </w:tcPr>
          <w:p w14:paraId="1A27D8E9" w14:textId="77777777" w:rsidR="000B5D6F" w:rsidRPr="000B5D6F" w:rsidRDefault="000B5D6F" w:rsidP="000B5D6F">
            <w:pPr>
              <w:jc w:val="center"/>
              <w:rPr>
                <w:rFonts w:asciiTheme="majorBidi" w:hAnsiTheme="majorBidi" w:cstheme="majorBidi"/>
                <w:sz w:val="20"/>
                <w:szCs w:val="20"/>
                <w:vertAlign w:val="superscript"/>
              </w:rPr>
            </w:pPr>
            <w:r w:rsidRPr="000B5D6F">
              <w:rPr>
                <w:rFonts w:asciiTheme="majorBidi" w:hAnsiTheme="majorBidi" w:cstheme="majorBidi"/>
                <w:sz w:val="20"/>
                <w:szCs w:val="20"/>
              </w:rPr>
              <w:t>605 ± 60</w:t>
            </w:r>
          </w:p>
        </w:tc>
        <w:tc>
          <w:tcPr>
            <w:tcW w:w="884" w:type="pct"/>
            <w:vAlign w:val="center"/>
          </w:tcPr>
          <w:p w14:paraId="05B932BF"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0.40 ± 0.040</w:t>
            </w:r>
          </w:p>
        </w:tc>
        <w:tc>
          <w:tcPr>
            <w:tcW w:w="747" w:type="pct"/>
            <w:vAlign w:val="center"/>
          </w:tcPr>
          <w:p w14:paraId="2CDC8388"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6.6 ± 0.071</w:t>
            </w:r>
          </w:p>
        </w:tc>
      </w:tr>
      <w:tr w:rsidR="000B5D6F" w:rsidRPr="000B5D6F" w14:paraId="7E81BCD6" w14:textId="77777777" w:rsidTr="000B5D6F">
        <w:trPr>
          <w:trHeight w:val="410"/>
          <w:jc w:val="center"/>
        </w:trPr>
        <w:tc>
          <w:tcPr>
            <w:tcW w:w="2245" w:type="pct"/>
            <w:vAlign w:val="center"/>
          </w:tcPr>
          <w:p w14:paraId="277F8FAA"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i/>
                <w:iCs/>
                <w:sz w:val="20"/>
                <w:szCs w:val="20"/>
              </w:rPr>
              <w:t>VRE</w:t>
            </w:r>
            <w:r w:rsidRPr="000B5D6F">
              <w:rPr>
                <w:rFonts w:asciiTheme="majorBidi" w:hAnsiTheme="majorBidi" w:cstheme="majorBidi"/>
                <w:sz w:val="20"/>
                <w:szCs w:val="20"/>
              </w:rPr>
              <w:t>-HD treated group (</w:t>
            </w:r>
            <w:r w:rsidRPr="000B5D6F">
              <w:rPr>
                <w:rFonts w:asciiTheme="majorBidi" w:hAnsiTheme="majorBidi" w:cstheme="majorBidi"/>
                <w:i/>
                <w:iCs/>
                <w:sz w:val="20"/>
                <w:szCs w:val="20"/>
              </w:rPr>
              <w:t>VRE</w:t>
            </w:r>
            <w:r w:rsidRPr="000B5D6F">
              <w:rPr>
                <w:rFonts w:asciiTheme="majorBidi" w:hAnsiTheme="majorBidi" w:cstheme="majorBidi"/>
                <w:sz w:val="20"/>
                <w:szCs w:val="20"/>
              </w:rPr>
              <w:t>, 300 mg/kg, orally, once daily</w:t>
            </w:r>
          </w:p>
          <w:p w14:paraId="63B735F6"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for 6 weeks)</w:t>
            </w:r>
          </w:p>
        </w:tc>
        <w:tc>
          <w:tcPr>
            <w:tcW w:w="1124" w:type="pct"/>
            <w:vAlign w:val="center"/>
          </w:tcPr>
          <w:p w14:paraId="069E09F8"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561 ± 89</w:t>
            </w:r>
          </w:p>
        </w:tc>
        <w:tc>
          <w:tcPr>
            <w:tcW w:w="884" w:type="pct"/>
            <w:vAlign w:val="center"/>
          </w:tcPr>
          <w:p w14:paraId="77F11C46"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0.36 ± 0.061</w:t>
            </w:r>
          </w:p>
        </w:tc>
        <w:tc>
          <w:tcPr>
            <w:tcW w:w="747" w:type="pct"/>
            <w:vAlign w:val="center"/>
          </w:tcPr>
          <w:p w14:paraId="77D69792" w14:textId="77777777" w:rsidR="000B5D6F" w:rsidRPr="000B5D6F" w:rsidRDefault="000B5D6F" w:rsidP="000B5D6F">
            <w:pPr>
              <w:jc w:val="center"/>
              <w:rPr>
                <w:rFonts w:asciiTheme="majorBidi" w:hAnsiTheme="majorBidi" w:cstheme="majorBidi"/>
                <w:sz w:val="20"/>
                <w:szCs w:val="20"/>
              </w:rPr>
            </w:pPr>
            <w:r w:rsidRPr="000B5D6F">
              <w:rPr>
                <w:rFonts w:asciiTheme="majorBidi" w:hAnsiTheme="majorBidi" w:cstheme="majorBidi"/>
                <w:sz w:val="20"/>
                <w:szCs w:val="20"/>
              </w:rPr>
              <w:t>6.5 ± 0.11</w:t>
            </w:r>
          </w:p>
        </w:tc>
      </w:tr>
    </w:tbl>
    <w:p w14:paraId="5236673C" w14:textId="77777777" w:rsidR="000B5D6F" w:rsidRPr="000B5D6F" w:rsidRDefault="000B5D6F" w:rsidP="000B5D6F">
      <w:pPr>
        <w:ind w:left="720"/>
        <w:jc w:val="both"/>
        <w:rPr>
          <w:rFonts w:asciiTheme="majorBidi" w:hAnsiTheme="majorBidi" w:cstheme="majorBidi"/>
          <w:noProof/>
        </w:rPr>
      </w:pPr>
    </w:p>
    <w:p w14:paraId="0C234EA1" w14:textId="77777777" w:rsidR="000B5D6F" w:rsidRPr="000B5D6F" w:rsidRDefault="000B5D6F" w:rsidP="000B5D6F">
      <w:pPr>
        <w:jc w:val="both"/>
        <w:rPr>
          <w:rFonts w:asciiTheme="majorBidi" w:eastAsia="Calibri" w:hAnsiTheme="majorBidi" w:cstheme="majorBidi"/>
          <w:lang w:bidi="ar-EG"/>
        </w:rPr>
      </w:pPr>
      <w:r w:rsidRPr="000B5D6F">
        <w:rPr>
          <w:rFonts w:asciiTheme="majorBidi" w:eastAsia="Calibri" w:hAnsiTheme="majorBidi" w:cstheme="majorBidi"/>
        </w:rPr>
        <w:t xml:space="preserve">Values are presented as means ± SE of 4 rats/group. Means within a column with different letter superscripts are significantly different (P </w:t>
      </w:r>
      <w:r w:rsidRPr="000B5D6F">
        <w:rPr>
          <w:rFonts w:asciiTheme="majorBidi" w:hAnsiTheme="majorBidi" w:cstheme="majorBidi"/>
        </w:rPr>
        <w:t>value ≤ 0.05</w:t>
      </w:r>
      <w:r w:rsidRPr="000B5D6F">
        <w:rPr>
          <w:rFonts w:asciiTheme="majorBidi" w:eastAsia="Calibri" w:hAnsiTheme="majorBidi" w:cstheme="majorBidi"/>
        </w:rPr>
        <w:t>, ANOVA followed by Tukey’s post hoc test). RBCs, Red blood cells</w:t>
      </w:r>
      <w:r w:rsidRPr="000B5D6F">
        <w:rPr>
          <w:rFonts w:asciiTheme="majorBidi" w:eastAsia="Calibri" w:hAnsiTheme="majorBidi" w:cstheme="majorBidi"/>
          <w:lang w:bidi="ar-EG"/>
        </w:rPr>
        <w:t xml:space="preserve">; Hemoglobin; Hematocrit; DMH, 1,1dimethyle hydrazine; 5-FU, 5- Fluro Uracil; </w:t>
      </w:r>
      <w:r w:rsidRPr="000B5D6F">
        <w:rPr>
          <w:rFonts w:asciiTheme="majorBidi" w:eastAsia="Calibri" w:hAnsiTheme="majorBidi" w:cstheme="majorBidi"/>
          <w:i/>
          <w:iCs/>
          <w:lang w:bidi="ar-EG"/>
        </w:rPr>
        <w:t>VRE</w:t>
      </w:r>
      <w:r w:rsidRPr="000B5D6F">
        <w:rPr>
          <w:rFonts w:asciiTheme="majorBidi" w:eastAsia="Calibri" w:hAnsiTheme="majorBidi" w:cstheme="majorBidi"/>
          <w:lang w:bidi="ar-EG"/>
        </w:rPr>
        <w:t xml:space="preserve">-SD, rats treated with small dose of </w:t>
      </w:r>
      <w:r w:rsidRPr="000B5D6F">
        <w:rPr>
          <w:rFonts w:asciiTheme="majorBidi" w:eastAsia="Calibri" w:hAnsiTheme="majorBidi" w:cstheme="majorBidi"/>
          <w:i/>
          <w:iCs/>
          <w:lang w:bidi="ar-EG"/>
        </w:rPr>
        <w:t>Vinca roseus leaves</w:t>
      </w:r>
      <w:r w:rsidRPr="000B5D6F">
        <w:rPr>
          <w:rFonts w:asciiTheme="majorBidi" w:eastAsia="Calibri" w:hAnsiTheme="majorBidi" w:cstheme="majorBidi"/>
          <w:lang w:bidi="ar-EG"/>
        </w:rPr>
        <w:t xml:space="preserve"> extract; </w:t>
      </w:r>
      <w:r w:rsidRPr="000B5D6F">
        <w:rPr>
          <w:rFonts w:asciiTheme="majorBidi" w:eastAsia="Calibri" w:hAnsiTheme="majorBidi" w:cstheme="majorBidi"/>
          <w:i/>
          <w:iCs/>
          <w:lang w:bidi="ar-EG"/>
        </w:rPr>
        <w:t>VRE</w:t>
      </w:r>
      <w:r w:rsidRPr="000B5D6F">
        <w:rPr>
          <w:rFonts w:asciiTheme="majorBidi" w:eastAsia="Calibri" w:hAnsiTheme="majorBidi" w:cstheme="majorBidi"/>
          <w:lang w:bidi="ar-EG"/>
        </w:rPr>
        <w:t xml:space="preserve">-HD, rats treated with high dose of </w:t>
      </w:r>
      <w:r w:rsidRPr="000B5D6F">
        <w:rPr>
          <w:rFonts w:asciiTheme="majorBidi" w:eastAsia="Calibri" w:hAnsiTheme="majorBidi" w:cstheme="majorBidi"/>
          <w:i/>
          <w:iCs/>
          <w:lang w:bidi="ar-EG"/>
        </w:rPr>
        <w:t xml:space="preserve">Vinca roseus leaves </w:t>
      </w:r>
      <w:r w:rsidRPr="000B5D6F">
        <w:rPr>
          <w:rFonts w:asciiTheme="majorBidi" w:eastAsia="Calibri" w:hAnsiTheme="majorBidi" w:cstheme="majorBidi"/>
          <w:lang w:bidi="ar-EG"/>
        </w:rPr>
        <w:t>extract.</w:t>
      </w:r>
    </w:p>
    <w:p w14:paraId="2E693BEA" w14:textId="77777777" w:rsidR="00686CF0" w:rsidRDefault="00686CF0" w:rsidP="003C447B">
      <w:pPr>
        <w:jc w:val="both"/>
        <w:rPr>
          <w:rFonts w:asciiTheme="majorBidi" w:hAnsiTheme="majorBidi" w:cstheme="majorBidi"/>
          <w:b/>
          <w:bCs/>
          <w:sz w:val="18"/>
          <w:szCs w:val="18"/>
          <w:lang w:bidi="ar-EG"/>
        </w:rPr>
      </w:pPr>
    </w:p>
    <w:p w14:paraId="07E5C005" w14:textId="77777777" w:rsidR="00181020" w:rsidRDefault="00181020" w:rsidP="003F79A4">
      <w:pPr>
        <w:spacing w:after="120"/>
      </w:pPr>
    </w:p>
    <w:p w14:paraId="1395A000" w14:textId="77777777" w:rsidR="00181020" w:rsidRDefault="00181020" w:rsidP="00181020">
      <w:pPr>
        <w:spacing w:after="120"/>
        <w:jc w:val="center"/>
      </w:pPr>
    </w:p>
    <w:p w14:paraId="135036EA" w14:textId="5F8C8F81" w:rsidR="00181020" w:rsidRDefault="00181020" w:rsidP="00181020">
      <w:pPr>
        <w:spacing w:after="120"/>
        <w:jc w:val="center"/>
        <w:rPr>
          <w:rFonts w:asciiTheme="majorBidi" w:hAnsiTheme="majorBidi" w:cstheme="majorBidi"/>
          <w:b/>
          <w:bCs/>
          <w:sz w:val="18"/>
          <w:szCs w:val="18"/>
          <w:u w:val="single"/>
        </w:rPr>
      </w:pPr>
      <w:r>
        <w:object w:dxaOrig="4183" w:dyaOrig="4635" w14:anchorId="5453A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25pt;height:207.75pt" o:ole="">
            <v:imagedata r:id="rId15" o:title=""/>
          </v:shape>
          <o:OLEObject Type="Embed" ProgID="Prism8.Document" ShapeID="_x0000_i1025" DrawAspect="Content" ObjectID="_1833171361" r:id="rId16"/>
        </w:object>
      </w:r>
    </w:p>
    <w:p w14:paraId="38C7AED5" w14:textId="32966BB7" w:rsidR="00181020" w:rsidRDefault="00EA55B2" w:rsidP="00181020">
      <w:pPr>
        <w:spacing w:line="480" w:lineRule="auto"/>
        <w:ind w:left="-810"/>
        <w:jc w:val="center"/>
        <w:rPr>
          <w:rFonts w:asciiTheme="majorBidi" w:eastAsia="Calibri" w:hAnsiTheme="majorBidi" w:cstheme="majorBidi"/>
          <w:b/>
          <w:bCs/>
          <w:shd w:val="clear" w:color="auto" w:fill="FFFFFF"/>
        </w:rPr>
      </w:pPr>
      <w:r w:rsidRPr="00864D6E">
        <w:rPr>
          <w:rFonts w:asciiTheme="majorBidi" w:hAnsiTheme="majorBidi" w:cstheme="majorBidi"/>
          <w:b/>
          <w:bCs/>
          <w:sz w:val="18"/>
          <w:szCs w:val="18"/>
          <w:lang w:val="en-US"/>
        </w:rPr>
        <w:t>Fig</w:t>
      </w:r>
      <w:r>
        <w:rPr>
          <w:rFonts w:asciiTheme="majorBidi" w:hAnsiTheme="majorBidi" w:cstheme="majorBidi"/>
          <w:b/>
          <w:bCs/>
          <w:sz w:val="18"/>
          <w:szCs w:val="18"/>
          <w:lang w:val="en-US"/>
        </w:rPr>
        <w:t>.</w:t>
      </w:r>
      <w:r w:rsidRPr="00864D6E">
        <w:rPr>
          <w:rFonts w:asciiTheme="majorBidi" w:hAnsiTheme="majorBidi" w:cstheme="majorBidi"/>
          <w:b/>
          <w:bCs/>
          <w:sz w:val="18"/>
          <w:szCs w:val="18"/>
          <w:lang w:val="en-US"/>
        </w:rPr>
        <w:t xml:space="preserve"> </w:t>
      </w:r>
      <w:r w:rsidR="003F79A4">
        <w:rPr>
          <w:rFonts w:asciiTheme="majorBidi" w:hAnsiTheme="majorBidi" w:cstheme="majorBidi"/>
          <w:b/>
          <w:bCs/>
          <w:sz w:val="18"/>
          <w:szCs w:val="18"/>
          <w:lang w:val="en-US"/>
        </w:rPr>
        <w:t>1</w:t>
      </w:r>
      <w:r w:rsidR="00181020" w:rsidRPr="009E19DD">
        <w:rPr>
          <w:rFonts w:asciiTheme="majorBidi" w:eastAsia="Calibri" w:hAnsiTheme="majorBidi" w:cstheme="majorBidi"/>
          <w:b/>
          <w:bCs/>
          <w:shd w:val="clear" w:color="auto" w:fill="FFFFFF"/>
        </w:rPr>
        <w:t xml:space="preserve">: </w:t>
      </w:r>
      <w:r w:rsidR="00181020" w:rsidRPr="00934770">
        <w:rPr>
          <w:rFonts w:asciiTheme="majorBidi" w:eastAsia="Calibri" w:hAnsiTheme="majorBidi" w:cstheme="majorBidi"/>
          <w:b/>
          <w:bCs/>
          <w:shd w:val="clear" w:color="auto" w:fill="FFFFFF"/>
        </w:rPr>
        <w:t xml:space="preserve">Effect of </w:t>
      </w:r>
      <w:r w:rsidR="00181020" w:rsidRPr="00934770">
        <w:rPr>
          <w:rFonts w:asciiTheme="majorBidi" w:eastAsia="Calibri" w:hAnsiTheme="majorBidi" w:cstheme="majorBidi"/>
          <w:b/>
          <w:bCs/>
          <w:i/>
          <w:iCs/>
          <w:shd w:val="clear" w:color="auto" w:fill="FFFFFF"/>
        </w:rPr>
        <w:t xml:space="preserve">VRE </w:t>
      </w:r>
      <w:r w:rsidR="00181020" w:rsidRPr="00934770">
        <w:rPr>
          <w:rFonts w:asciiTheme="majorBidi" w:eastAsia="Calibri" w:hAnsiTheme="majorBidi" w:cstheme="majorBidi"/>
          <w:b/>
          <w:bCs/>
          <w:shd w:val="clear" w:color="auto" w:fill="FFFFFF"/>
        </w:rPr>
        <w:t>on</w:t>
      </w:r>
      <w:r w:rsidR="00181020" w:rsidRPr="00934770">
        <w:rPr>
          <w:rFonts w:asciiTheme="majorBidi" w:eastAsia="Calibri" w:hAnsiTheme="majorBidi" w:cstheme="majorBidi"/>
          <w:b/>
          <w:bCs/>
          <w:i/>
          <w:iCs/>
          <w:shd w:val="clear" w:color="auto" w:fill="FFFFFF"/>
        </w:rPr>
        <w:t xml:space="preserve"> </w:t>
      </w:r>
      <w:r w:rsidR="00181020" w:rsidRPr="00934770">
        <w:rPr>
          <w:rFonts w:asciiTheme="majorBidi" w:eastAsia="Calibri" w:hAnsiTheme="majorBidi" w:cstheme="majorBidi"/>
          <w:b/>
          <w:bCs/>
          <w:shd w:val="clear" w:color="auto" w:fill="FFFFFF"/>
        </w:rPr>
        <w:t>RBCs count.</w:t>
      </w:r>
    </w:p>
    <w:p w14:paraId="2BE872F7" w14:textId="77777777" w:rsidR="00EA55B2" w:rsidRPr="00EA55B2" w:rsidRDefault="00EA55B2" w:rsidP="00EA55B2">
      <w:pPr>
        <w:spacing w:after="160"/>
        <w:ind w:firstLine="720"/>
        <w:jc w:val="both"/>
        <w:rPr>
          <w:rFonts w:eastAsia="Calibri"/>
          <w:sz w:val="18"/>
          <w:szCs w:val="18"/>
          <w:lang w:val="en-US" w:eastAsia="en-US"/>
        </w:rPr>
      </w:pPr>
      <w:bookmarkStart w:id="14" w:name="_Hlk219606802"/>
      <w:r w:rsidRPr="00EA55B2">
        <w:rPr>
          <w:rFonts w:eastAsia="Calibri"/>
          <w:sz w:val="18"/>
          <w:szCs w:val="18"/>
          <w:shd w:val="clear" w:color="auto" w:fill="FFFFFF"/>
          <w:lang w:val="en-US" w:eastAsia="en-US"/>
        </w:rPr>
        <w:t xml:space="preserve">Bar graph demonstrating the effects </w:t>
      </w:r>
      <w:r w:rsidRPr="00EA55B2">
        <w:rPr>
          <w:rFonts w:eastAsia="Calibri"/>
          <w:i/>
          <w:iCs/>
          <w:sz w:val="18"/>
          <w:szCs w:val="18"/>
          <w:shd w:val="clear" w:color="auto" w:fill="FFFFFF"/>
          <w:lang w:val="en-US" w:eastAsia="en-US"/>
        </w:rPr>
        <w:t xml:space="preserve">VRE </w:t>
      </w:r>
      <w:r w:rsidRPr="00EA55B2">
        <w:rPr>
          <w:rFonts w:eastAsia="Calibri"/>
          <w:sz w:val="18"/>
          <w:szCs w:val="18"/>
          <w:shd w:val="clear" w:color="auto" w:fill="FFFFFF"/>
          <w:lang w:val="en-US" w:eastAsia="en-US"/>
        </w:rPr>
        <w:t xml:space="preserve">and 5-FU on RBCs in normal rats (negative control) and those received </w:t>
      </w:r>
      <w:r w:rsidRPr="00EA55B2">
        <w:rPr>
          <w:rFonts w:eastAsia="Calibri"/>
          <w:sz w:val="18"/>
          <w:szCs w:val="18"/>
          <w:lang w:val="en-US" w:eastAsia="en-US"/>
        </w:rPr>
        <w:t>(DMH 40 mg/kg) after 6 weeks of different treatments. Values are presented as means ± SE of 4 rats/group.</w:t>
      </w:r>
    </w:p>
    <w:p w14:paraId="0F8F300C" w14:textId="77777777" w:rsidR="00EA55B2" w:rsidRPr="00EA55B2" w:rsidRDefault="00EA55B2" w:rsidP="00EA55B2">
      <w:pPr>
        <w:spacing w:after="160"/>
        <w:jc w:val="both"/>
        <w:rPr>
          <w:rFonts w:eastAsia="Calibri"/>
          <w:sz w:val="18"/>
          <w:szCs w:val="18"/>
          <w:shd w:val="clear" w:color="auto" w:fill="FFFFFF"/>
          <w:lang w:val="en-US" w:eastAsia="en-US"/>
        </w:rPr>
      </w:pPr>
      <w:r w:rsidRPr="00EA55B2">
        <w:rPr>
          <w:rFonts w:eastAsia="Calibri"/>
          <w:sz w:val="18"/>
          <w:szCs w:val="18"/>
          <w:lang w:val="en-US" w:eastAsia="en-US"/>
        </w:rPr>
        <w:t xml:space="preserve">Bars with different letters are significantly different </w:t>
      </w:r>
      <w:r w:rsidRPr="00EA55B2">
        <w:rPr>
          <w:kern w:val="36"/>
          <w:sz w:val="18"/>
          <w:szCs w:val="18"/>
          <w:lang w:val="en-US" w:eastAsia="en-US"/>
        </w:rPr>
        <w:t>(</w:t>
      </w:r>
      <w:r w:rsidRPr="00EA55B2">
        <w:rPr>
          <w:rFonts w:eastAsia="Calibri"/>
          <w:sz w:val="18"/>
          <w:szCs w:val="18"/>
          <w:lang w:val="en-US" w:eastAsia="en-US"/>
        </w:rPr>
        <w:t xml:space="preserve">P value </w:t>
      </w:r>
      <w:r w:rsidRPr="00EA55B2">
        <w:rPr>
          <w:rFonts w:eastAsia="Calibri"/>
          <w:kern w:val="2"/>
          <w:sz w:val="18"/>
          <w:szCs w:val="18"/>
          <w:lang w:val="en-US" w:eastAsia="en-US"/>
          <w14:ligatures w14:val="standardContextual"/>
        </w:rPr>
        <w:t>≤ 0.05</w:t>
      </w:r>
      <w:r w:rsidRPr="00EA55B2">
        <w:rPr>
          <w:rFonts w:eastAsia="Calibri"/>
          <w:sz w:val="18"/>
          <w:szCs w:val="18"/>
          <w:lang w:val="en-US" w:eastAsia="en-US"/>
        </w:rPr>
        <w:t xml:space="preserve">, ANOVA followed by Tukey’s post hoc test) Control negative group: (isosaline orally, once daily); diseased group (DMH 40 mg/kg in 1mM EDTA, S.C, twice weekly), </w:t>
      </w:r>
      <w:r w:rsidRPr="00EA55B2">
        <w:rPr>
          <w:rFonts w:eastAsia="Calibri"/>
          <w:i/>
          <w:iCs/>
          <w:sz w:val="18"/>
          <w:szCs w:val="18"/>
          <w:lang w:val="en-US" w:eastAsia="en-US"/>
        </w:rPr>
        <w:t>ad libitum</w:t>
      </w:r>
      <w:r w:rsidRPr="00EA55B2">
        <w:rPr>
          <w:rFonts w:eastAsia="Calibri"/>
          <w:sz w:val="18"/>
          <w:szCs w:val="18"/>
          <w:lang w:val="en-US" w:eastAsia="en-US"/>
        </w:rPr>
        <w:t xml:space="preserve">; standard group DMH as diseased group, plus 5-flurouracil (5- FU, 50 mg/kg, ip once weekly); treated LD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xml:space="preserve">, 150 mg/kg, orally, once daily); treated HD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300 mg/kg, orally, once daily).</w:t>
      </w:r>
    </w:p>
    <w:bookmarkEnd w:id="14"/>
    <w:p w14:paraId="6348AC3A" w14:textId="77777777" w:rsidR="00EA55B2" w:rsidRPr="00EA55B2" w:rsidRDefault="00EA55B2" w:rsidP="00181020">
      <w:pPr>
        <w:spacing w:line="480" w:lineRule="auto"/>
        <w:ind w:left="-810"/>
        <w:jc w:val="center"/>
        <w:rPr>
          <w:rFonts w:asciiTheme="majorBidi" w:eastAsia="Calibri" w:hAnsiTheme="majorBidi" w:cstheme="majorBidi"/>
          <w:b/>
          <w:bCs/>
          <w:shd w:val="clear" w:color="auto" w:fill="FFFFFF"/>
          <w:lang w:val="en-US"/>
        </w:rPr>
      </w:pPr>
    </w:p>
    <w:p w14:paraId="187D9149" w14:textId="77777777" w:rsidR="00EA55B2" w:rsidRDefault="00EA55B2" w:rsidP="00181020">
      <w:pPr>
        <w:spacing w:line="480" w:lineRule="auto"/>
        <w:ind w:left="-810"/>
        <w:jc w:val="center"/>
        <w:rPr>
          <w:rFonts w:asciiTheme="majorBidi" w:eastAsia="Calibri" w:hAnsiTheme="majorBidi" w:cstheme="majorBidi"/>
          <w:b/>
          <w:bCs/>
          <w:shd w:val="clear" w:color="auto" w:fill="FFFFFF"/>
        </w:rPr>
      </w:pPr>
    </w:p>
    <w:p w14:paraId="48E049E4" w14:textId="40F67B9B" w:rsidR="00EA55B2" w:rsidRDefault="003F79A4" w:rsidP="003F79A4">
      <w:pPr>
        <w:spacing w:line="480" w:lineRule="auto"/>
        <w:ind w:left="-810"/>
        <w:jc w:val="center"/>
        <w:rPr>
          <w:rFonts w:asciiTheme="majorBidi" w:eastAsia="Calibri" w:hAnsiTheme="majorBidi" w:cstheme="majorBidi"/>
          <w:b/>
          <w:bCs/>
          <w:shd w:val="clear" w:color="auto" w:fill="FFFFFF"/>
        </w:rPr>
      </w:pPr>
      <w:r>
        <w:object w:dxaOrig="4102" w:dyaOrig="4563" w14:anchorId="4DEF46F7">
          <v:shape id="_x0000_i1026" type="#_x0000_t75" style="width:186.75pt;height:170.25pt" o:ole="">
            <v:imagedata r:id="rId17" o:title=""/>
          </v:shape>
          <o:OLEObject Type="Embed" ProgID="Prism8.Document" ShapeID="_x0000_i1026" DrawAspect="Content" ObjectID="_1833171362" r:id="rId18"/>
        </w:object>
      </w:r>
    </w:p>
    <w:p w14:paraId="1DB2E81F" w14:textId="77777777" w:rsidR="003F79A4" w:rsidRDefault="003F79A4" w:rsidP="003F79A4">
      <w:pPr>
        <w:spacing w:line="480" w:lineRule="auto"/>
        <w:ind w:left="-810"/>
        <w:jc w:val="center"/>
        <w:rPr>
          <w:rFonts w:asciiTheme="majorBidi" w:eastAsia="Calibri" w:hAnsiTheme="majorBidi" w:cstheme="majorBidi"/>
          <w:b/>
          <w:bCs/>
          <w:shd w:val="clear" w:color="auto" w:fill="FFFFFF"/>
        </w:rPr>
      </w:pPr>
      <w:r w:rsidRPr="00864D6E">
        <w:rPr>
          <w:rFonts w:asciiTheme="majorBidi" w:hAnsiTheme="majorBidi" w:cstheme="majorBidi"/>
          <w:b/>
          <w:bCs/>
          <w:sz w:val="18"/>
          <w:szCs w:val="18"/>
          <w:lang w:val="en-US"/>
        </w:rPr>
        <w:t>Fig</w:t>
      </w:r>
      <w:r>
        <w:rPr>
          <w:rFonts w:asciiTheme="majorBidi" w:hAnsiTheme="majorBidi" w:cstheme="majorBidi"/>
          <w:b/>
          <w:bCs/>
          <w:sz w:val="18"/>
          <w:szCs w:val="18"/>
          <w:lang w:val="en-US"/>
        </w:rPr>
        <w:t>.</w:t>
      </w:r>
      <w:r w:rsidRPr="00864D6E">
        <w:rPr>
          <w:rFonts w:asciiTheme="majorBidi" w:hAnsiTheme="majorBidi" w:cstheme="majorBidi"/>
          <w:b/>
          <w:bCs/>
          <w:sz w:val="18"/>
          <w:szCs w:val="18"/>
          <w:lang w:val="en-US"/>
        </w:rPr>
        <w:t xml:space="preserve"> </w:t>
      </w:r>
      <w:r>
        <w:rPr>
          <w:rFonts w:asciiTheme="majorBidi" w:hAnsiTheme="majorBidi" w:cstheme="majorBidi"/>
          <w:b/>
          <w:bCs/>
          <w:sz w:val="18"/>
          <w:szCs w:val="18"/>
          <w:lang w:val="en-US"/>
        </w:rPr>
        <w:t>2</w:t>
      </w:r>
      <w:r w:rsidRPr="009E19DD">
        <w:rPr>
          <w:rFonts w:asciiTheme="majorBidi" w:eastAsia="Calibri" w:hAnsiTheme="majorBidi" w:cstheme="majorBidi"/>
          <w:b/>
          <w:bCs/>
          <w:shd w:val="clear" w:color="auto" w:fill="FFFFFF"/>
        </w:rPr>
        <w:t xml:space="preserve">: </w:t>
      </w:r>
      <w:r w:rsidRPr="00934770">
        <w:rPr>
          <w:rFonts w:asciiTheme="majorBidi" w:eastAsia="Calibri" w:hAnsiTheme="majorBidi" w:cstheme="majorBidi"/>
          <w:b/>
          <w:bCs/>
          <w:shd w:val="clear" w:color="auto" w:fill="FFFFFF"/>
        </w:rPr>
        <w:t xml:space="preserve">Effect of </w:t>
      </w:r>
      <w:r w:rsidRPr="00934770">
        <w:rPr>
          <w:rFonts w:asciiTheme="majorBidi" w:eastAsia="Calibri" w:hAnsiTheme="majorBidi" w:cstheme="majorBidi"/>
          <w:b/>
          <w:bCs/>
          <w:i/>
          <w:iCs/>
          <w:shd w:val="clear" w:color="auto" w:fill="FFFFFF"/>
        </w:rPr>
        <w:t xml:space="preserve">VRE </w:t>
      </w:r>
      <w:r w:rsidRPr="00934770">
        <w:rPr>
          <w:rFonts w:asciiTheme="majorBidi" w:eastAsia="Calibri" w:hAnsiTheme="majorBidi" w:cstheme="majorBidi"/>
          <w:b/>
          <w:bCs/>
          <w:shd w:val="clear" w:color="auto" w:fill="FFFFFF"/>
        </w:rPr>
        <w:t>on</w:t>
      </w:r>
      <w:r w:rsidRPr="00934770">
        <w:rPr>
          <w:rFonts w:asciiTheme="majorBidi" w:eastAsia="Calibri" w:hAnsiTheme="majorBidi" w:cstheme="majorBidi"/>
          <w:b/>
          <w:bCs/>
          <w:i/>
          <w:iCs/>
          <w:shd w:val="clear" w:color="auto" w:fill="FFFFFF"/>
        </w:rPr>
        <w:t xml:space="preserve"> </w:t>
      </w:r>
      <w:r w:rsidRPr="00934770">
        <w:rPr>
          <w:rFonts w:asciiTheme="majorBidi" w:eastAsia="Calibri" w:hAnsiTheme="majorBidi" w:cstheme="majorBidi"/>
          <w:b/>
          <w:bCs/>
          <w:shd w:val="clear" w:color="auto" w:fill="FFFFFF"/>
        </w:rPr>
        <w:t>blood hemoglobin.</w:t>
      </w:r>
    </w:p>
    <w:p w14:paraId="737FB45E" w14:textId="77777777" w:rsidR="003F79A4" w:rsidRPr="00EA55B2" w:rsidRDefault="003F79A4" w:rsidP="003F79A4">
      <w:pPr>
        <w:spacing w:after="160"/>
        <w:ind w:firstLine="720"/>
        <w:jc w:val="both"/>
        <w:rPr>
          <w:rFonts w:eastAsia="Calibri"/>
          <w:sz w:val="18"/>
          <w:szCs w:val="18"/>
          <w:lang w:val="en-US" w:eastAsia="en-US"/>
        </w:rPr>
      </w:pPr>
      <w:bookmarkStart w:id="15" w:name="_Hlk217361235"/>
      <w:r w:rsidRPr="00EA55B2">
        <w:rPr>
          <w:rFonts w:eastAsia="Calibri"/>
          <w:sz w:val="18"/>
          <w:szCs w:val="18"/>
          <w:shd w:val="clear" w:color="auto" w:fill="FFFFFF"/>
          <w:lang w:val="en-US" w:eastAsia="en-US"/>
        </w:rPr>
        <w:t xml:space="preserve">Bar graph demonstrating the effects </w:t>
      </w:r>
      <w:r w:rsidRPr="00EA55B2">
        <w:rPr>
          <w:rFonts w:eastAsia="Calibri"/>
          <w:i/>
          <w:iCs/>
          <w:sz w:val="18"/>
          <w:szCs w:val="18"/>
          <w:shd w:val="clear" w:color="auto" w:fill="FFFFFF"/>
          <w:lang w:val="en-US" w:eastAsia="en-US"/>
        </w:rPr>
        <w:t xml:space="preserve">VRE </w:t>
      </w:r>
      <w:r w:rsidRPr="00EA55B2">
        <w:rPr>
          <w:rFonts w:eastAsia="Calibri"/>
          <w:sz w:val="18"/>
          <w:szCs w:val="18"/>
          <w:shd w:val="clear" w:color="auto" w:fill="FFFFFF"/>
          <w:lang w:val="en-US" w:eastAsia="en-US"/>
        </w:rPr>
        <w:t xml:space="preserve">and 5-FU on hemoglobin in normal rats (negative control) and those received </w:t>
      </w:r>
      <w:r w:rsidRPr="00EA55B2">
        <w:rPr>
          <w:rFonts w:eastAsia="Calibri"/>
          <w:sz w:val="18"/>
          <w:szCs w:val="18"/>
          <w:lang w:val="en-US" w:eastAsia="en-US"/>
        </w:rPr>
        <w:t>(DMH 40 mg/kg) after 6 weeks of different treatments. Values are presented as means ± SE of 4 rats/group.</w:t>
      </w:r>
    </w:p>
    <w:p w14:paraId="05376274" w14:textId="77777777" w:rsidR="003F79A4" w:rsidRPr="00EA55B2" w:rsidRDefault="003F79A4" w:rsidP="003F79A4">
      <w:pPr>
        <w:spacing w:after="160"/>
        <w:jc w:val="both"/>
        <w:rPr>
          <w:rFonts w:eastAsia="Calibri"/>
          <w:sz w:val="18"/>
          <w:szCs w:val="18"/>
          <w:shd w:val="clear" w:color="auto" w:fill="FFFFFF"/>
          <w:lang w:val="en-US" w:eastAsia="en-US"/>
        </w:rPr>
      </w:pPr>
      <w:r w:rsidRPr="00EA55B2">
        <w:rPr>
          <w:rFonts w:eastAsia="Calibri"/>
          <w:sz w:val="18"/>
          <w:szCs w:val="18"/>
          <w:lang w:val="en-US" w:eastAsia="en-US"/>
        </w:rPr>
        <w:t xml:space="preserve">Bars with different letters are significantly different </w:t>
      </w:r>
      <w:r w:rsidRPr="00EA55B2">
        <w:rPr>
          <w:kern w:val="36"/>
          <w:sz w:val="18"/>
          <w:szCs w:val="18"/>
          <w:lang w:val="en-US" w:eastAsia="en-US"/>
        </w:rPr>
        <w:t>(</w:t>
      </w:r>
      <w:r w:rsidRPr="00EA55B2">
        <w:rPr>
          <w:rFonts w:eastAsia="Calibri"/>
          <w:sz w:val="18"/>
          <w:szCs w:val="18"/>
          <w:lang w:val="en-US" w:eastAsia="en-US"/>
        </w:rPr>
        <w:t xml:space="preserve">P value </w:t>
      </w:r>
      <w:r w:rsidRPr="00EA55B2">
        <w:rPr>
          <w:rFonts w:eastAsia="Calibri"/>
          <w:kern w:val="2"/>
          <w:sz w:val="18"/>
          <w:szCs w:val="18"/>
          <w:lang w:val="en-US" w:eastAsia="en-US"/>
          <w14:ligatures w14:val="standardContextual"/>
        </w:rPr>
        <w:t>≤ 0.05</w:t>
      </w:r>
      <w:r w:rsidRPr="00EA55B2">
        <w:rPr>
          <w:rFonts w:eastAsia="Calibri"/>
          <w:sz w:val="18"/>
          <w:szCs w:val="18"/>
          <w:lang w:val="en-US" w:eastAsia="en-US"/>
        </w:rPr>
        <w:t xml:space="preserve">, ANOVA followed by Tukey’s post hoc test) Control negative group: (isosaline orally, once daily); diseased group (DMH 40 mg/kg in 1mM EDTA, S.C, twice weekly), </w:t>
      </w:r>
      <w:r w:rsidRPr="00EA55B2">
        <w:rPr>
          <w:rFonts w:eastAsia="Calibri"/>
          <w:i/>
          <w:iCs/>
          <w:sz w:val="18"/>
          <w:szCs w:val="18"/>
          <w:lang w:val="en-US" w:eastAsia="en-US"/>
        </w:rPr>
        <w:t>ad libitum</w:t>
      </w:r>
      <w:r w:rsidRPr="00EA55B2">
        <w:rPr>
          <w:rFonts w:eastAsia="Calibri"/>
          <w:sz w:val="18"/>
          <w:szCs w:val="18"/>
          <w:lang w:val="en-US" w:eastAsia="en-US"/>
        </w:rPr>
        <w:t xml:space="preserve">; standard group DMH as diseased group, plus 5-flurouracil (5- FU, 50 mg/kg, ip once weekly); treated LD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xml:space="preserve">, 150 mg/kg, orally, once daily); treated HD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300 mg/kg, orally, once daily).</w:t>
      </w:r>
    </w:p>
    <w:bookmarkEnd w:id="15"/>
    <w:p w14:paraId="7D818F2D" w14:textId="6BCAD63E" w:rsidR="00181020" w:rsidRDefault="00181020" w:rsidP="003F79A4">
      <w:pPr>
        <w:pStyle w:val="Els-1storder-head"/>
        <w:numPr>
          <w:ilvl w:val="0"/>
          <w:numId w:val="0"/>
        </w:numPr>
        <w:spacing w:before="120" w:after="120" w:line="240" w:lineRule="auto"/>
        <w:rPr>
          <w:color w:val="FF0000"/>
          <w:u w:val="single"/>
        </w:rPr>
      </w:pPr>
    </w:p>
    <w:p w14:paraId="7FE8B7D5" w14:textId="77777777" w:rsidR="00EA55B2" w:rsidRPr="00EA55B2" w:rsidRDefault="00EA55B2" w:rsidP="003F79A4">
      <w:pPr>
        <w:spacing w:line="480" w:lineRule="auto"/>
        <w:rPr>
          <w:rFonts w:asciiTheme="majorBidi" w:eastAsia="Calibri" w:hAnsiTheme="majorBidi" w:cstheme="majorBidi"/>
          <w:b/>
          <w:bCs/>
          <w:shd w:val="clear" w:color="auto" w:fill="FFFFFF"/>
          <w:lang w:val="en-US"/>
        </w:rPr>
      </w:pPr>
      <w:bookmarkStart w:id="16" w:name="_Hlk217361138"/>
    </w:p>
    <w:bookmarkEnd w:id="16"/>
    <w:p w14:paraId="40EB2A1D" w14:textId="35487AFD" w:rsidR="00181020" w:rsidRPr="008066ED" w:rsidRDefault="008066ED" w:rsidP="008066ED">
      <w:pPr>
        <w:pStyle w:val="Els-1storder-head"/>
        <w:numPr>
          <w:ilvl w:val="0"/>
          <w:numId w:val="0"/>
        </w:numPr>
        <w:spacing w:before="120" w:after="120" w:line="240" w:lineRule="auto"/>
        <w:jc w:val="center"/>
        <w:rPr>
          <w:color w:val="FF0000"/>
          <w:u w:val="single"/>
          <w:lang w:val="en-GB"/>
        </w:rPr>
      </w:pPr>
      <w:r>
        <w:object w:dxaOrig="4121" w:dyaOrig="4992" w14:anchorId="704B6984">
          <v:shape id="_x0000_i1027" type="#_x0000_t75" style="width:195.75pt;height:175.5pt" o:ole="">
            <v:imagedata r:id="rId19" o:title=""/>
          </v:shape>
          <o:OLEObject Type="Embed" ProgID="Prism8.Document" ShapeID="_x0000_i1027" DrawAspect="Content" ObjectID="_1833171363" r:id="rId20"/>
        </w:object>
      </w:r>
    </w:p>
    <w:p w14:paraId="6769FB34" w14:textId="67D7D598" w:rsidR="00181020" w:rsidRDefault="00EA55B2" w:rsidP="00EA55B2">
      <w:pPr>
        <w:ind w:left="-810"/>
        <w:jc w:val="center"/>
        <w:rPr>
          <w:rFonts w:asciiTheme="majorBidi" w:eastAsia="Calibri" w:hAnsiTheme="majorBidi" w:cstheme="majorBidi"/>
          <w:b/>
          <w:bCs/>
          <w:shd w:val="clear" w:color="auto" w:fill="FFFFFF"/>
        </w:rPr>
      </w:pPr>
      <w:r w:rsidRPr="00864D6E">
        <w:rPr>
          <w:rFonts w:asciiTheme="majorBidi" w:hAnsiTheme="majorBidi" w:cstheme="majorBidi"/>
          <w:b/>
          <w:bCs/>
          <w:sz w:val="18"/>
          <w:szCs w:val="18"/>
          <w:lang w:val="en-US"/>
        </w:rPr>
        <w:t>Fig</w:t>
      </w:r>
      <w:r>
        <w:rPr>
          <w:rFonts w:asciiTheme="majorBidi" w:hAnsiTheme="majorBidi" w:cstheme="majorBidi"/>
          <w:b/>
          <w:bCs/>
          <w:sz w:val="18"/>
          <w:szCs w:val="18"/>
          <w:lang w:val="en-US"/>
        </w:rPr>
        <w:t>.</w:t>
      </w:r>
      <w:r w:rsidRPr="00864D6E">
        <w:rPr>
          <w:rFonts w:asciiTheme="majorBidi" w:hAnsiTheme="majorBidi" w:cstheme="majorBidi"/>
          <w:b/>
          <w:bCs/>
          <w:sz w:val="18"/>
          <w:szCs w:val="18"/>
          <w:lang w:val="en-US"/>
        </w:rPr>
        <w:t xml:space="preserve"> </w:t>
      </w:r>
      <w:r w:rsidR="003F79A4">
        <w:rPr>
          <w:rFonts w:asciiTheme="majorBidi" w:hAnsiTheme="majorBidi" w:cstheme="majorBidi"/>
          <w:b/>
          <w:bCs/>
          <w:sz w:val="18"/>
          <w:szCs w:val="18"/>
          <w:lang w:val="en-US"/>
        </w:rPr>
        <w:t>3</w:t>
      </w:r>
      <w:r w:rsidR="008066ED" w:rsidRPr="00934770">
        <w:rPr>
          <w:rFonts w:asciiTheme="majorBidi" w:eastAsia="Calibri" w:hAnsiTheme="majorBidi" w:cstheme="majorBidi"/>
          <w:b/>
          <w:bCs/>
          <w:shd w:val="clear" w:color="auto" w:fill="FFFFFF"/>
        </w:rPr>
        <w:t xml:space="preserve">: Effect of </w:t>
      </w:r>
      <w:r w:rsidR="008066ED" w:rsidRPr="00934770">
        <w:rPr>
          <w:rFonts w:asciiTheme="majorBidi" w:eastAsia="Calibri" w:hAnsiTheme="majorBidi" w:cstheme="majorBidi"/>
          <w:b/>
          <w:bCs/>
          <w:i/>
          <w:iCs/>
          <w:shd w:val="clear" w:color="auto" w:fill="FFFFFF"/>
        </w:rPr>
        <w:t xml:space="preserve">VRE </w:t>
      </w:r>
      <w:r w:rsidR="008066ED" w:rsidRPr="00934770">
        <w:rPr>
          <w:rFonts w:asciiTheme="majorBidi" w:eastAsia="Calibri" w:hAnsiTheme="majorBidi" w:cstheme="majorBidi"/>
          <w:b/>
          <w:bCs/>
          <w:shd w:val="clear" w:color="auto" w:fill="FFFFFF"/>
        </w:rPr>
        <w:t>on</w:t>
      </w:r>
      <w:r w:rsidR="008066ED" w:rsidRPr="00934770">
        <w:rPr>
          <w:rFonts w:asciiTheme="majorBidi" w:eastAsia="Calibri" w:hAnsiTheme="majorBidi" w:cstheme="majorBidi"/>
          <w:b/>
          <w:bCs/>
          <w:i/>
          <w:iCs/>
          <w:shd w:val="clear" w:color="auto" w:fill="FFFFFF"/>
        </w:rPr>
        <w:t xml:space="preserve"> </w:t>
      </w:r>
      <w:r w:rsidR="008066ED" w:rsidRPr="00934770">
        <w:rPr>
          <w:rFonts w:asciiTheme="majorBidi" w:eastAsia="Calibri" w:hAnsiTheme="majorBidi" w:cstheme="majorBidi"/>
          <w:b/>
          <w:bCs/>
          <w:shd w:val="clear" w:color="auto" w:fill="FFFFFF"/>
        </w:rPr>
        <w:t>blood hematocrit</w:t>
      </w:r>
      <w:r w:rsidR="008066ED">
        <w:rPr>
          <w:rFonts w:asciiTheme="majorBidi" w:eastAsia="Calibri" w:hAnsiTheme="majorBidi" w:cstheme="majorBidi"/>
          <w:b/>
          <w:bCs/>
          <w:shd w:val="clear" w:color="auto" w:fill="FFFFFF"/>
        </w:rPr>
        <w:t>.</w:t>
      </w:r>
    </w:p>
    <w:p w14:paraId="48BD88E3" w14:textId="77777777" w:rsidR="00EA55B2" w:rsidRPr="00EA55B2" w:rsidRDefault="00EA55B2" w:rsidP="00EA55B2">
      <w:pPr>
        <w:ind w:left="-810"/>
        <w:jc w:val="center"/>
        <w:rPr>
          <w:rFonts w:asciiTheme="majorBidi" w:eastAsia="Calibri" w:hAnsiTheme="majorBidi" w:cstheme="majorBidi"/>
          <w:b/>
          <w:bCs/>
          <w:shd w:val="clear" w:color="auto" w:fill="FFFFFF"/>
        </w:rPr>
      </w:pPr>
    </w:p>
    <w:p w14:paraId="48223EB2" w14:textId="77777777" w:rsidR="00EA55B2" w:rsidRPr="00EA55B2" w:rsidRDefault="00EA55B2" w:rsidP="00EA55B2">
      <w:pPr>
        <w:spacing w:after="160"/>
        <w:ind w:left="-810" w:firstLine="810"/>
        <w:jc w:val="center"/>
        <w:rPr>
          <w:rFonts w:eastAsia="Calibri"/>
          <w:sz w:val="18"/>
          <w:szCs w:val="18"/>
          <w:lang w:val="en-US" w:eastAsia="en-US"/>
        </w:rPr>
      </w:pPr>
      <w:r w:rsidRPr="00EA55B2">
        <w:rPr>
          <w:rFonts w:eastAsia="Calibri"/>
          <w:sz w:val="18"/>
          <w:szCs w:val="18"/>
          <w:shd w:val="clear" w:color="auto" w:fill="FFFFFF"/>
          <w:lang w:val="en-US" w:eastAsia="en-US"/>
        </w:rPr>
        <w:t xml:space="preserve">Bar graph demonstrating the effects </w:t>
      </w:r>
      <w:r w:rsidRPr="00EA55B2">
        <w:rPr>
          <w:rFonts w:eastAsia="Calibri"/>
          <w:i/>
          <w:iCs/>
          <w:sz w:val="18"/>
          <w:szCs w:val="18"/>
          <w:shd w:val="clear" w:color="auto" w:fill="FFFFFF"/>
          <w:lang w:val="en-US" w:eastAsia="en-US"/>
        </w:rPr>
        <w:t xml:space="preserve">VRE </w:t>
      </w:r>
      <w:r w:rsidRPr="00EA55B2">
        <w:rPr>
          <w:rFonts w:eastAsia="Calibri"/>
          <w:sz w:val="18"/>
          <w:szCs w:val="18"/>
          <w:shd w:val="clear" w:color="auto" w:fill="FFFFFF"/>
          <w:lang w:val="en-US" w:eastAsia="en-US"/>
        </w:rPr>
        <w:t xml:space="preserve">and 5-FU on hematocrit% in normal rats (negative control) and those received </w:t>
      </w:r>
      <w:r w:rsidRPr="00EA55B2">
        <w:rPr>
          <w:rFonts w:eastAsia="Calibri"/>
          <w:sz w:val="18"/>
          <w:szCs w:val="18"/>
          <w:lang w:val="en-US" w:eastAsia="en-US"/>
        </w:rPr>
        <w:t>(DMH 40 mg/kg) after 6 weeks of different treatments. Values are presented as means ± SE of 4 rats/group.</w:t>
      </w:r>
    </w:p>
    <w:p w14:paraId="64CC2095" w14:textId="77777777" w:rsidR="00EA55B2" w:rsidRPr="00EA55B2" w:rsidRDefault="00EA55B2" w:rsidP="00EA55B2">
      <w:pPr>
        <w:spacing w:after="160"/>
        <w:ind w:left="-810"/>
        <w:jc w:val="center"/>
        <w:rPr>
          <w:rFonts w:eastAsia="Calibri"/>
          <w:sz w:val="18"/>
          <w:szCs w:val="18"/>
          <w:shd w:val="clear" w:color="auto" w:fill="FFFFFF"/>
          <w:lang w:val="en-US" w:eastAsia="en-US"/>
        </w:rPr>
      </w:pPr>
      <w:r w:rsidRPr="00EA55B2">
        <w:rPr>
          <w:rFonts w:eastAsia="Calibri"/>
          <w:sz w:val="18"/>
          <w:szCs w:val="18"/>
          <w:lang w:val="en-US" w:eastAsia="en-US"/>
        </w:rPr>
        <w:t xml:space="preserve">Bars with different letters are significantly different </w:t>
      </w:r>
      <w:r w:rsidRPr="00EA55B2">
        <w:rPr>
          <w:kern w:val="36"/>
          <w:sz w:val="18"/>
          <w:szCs w:val="18"/>
          <w:lang w:val="en-US" w:eastAsia="en-US"/>
        </w:rPr>
        <w:t>(</w:t>
      </w:r>
      <w:r w:rsidRPr="00EA55B2">
        <w:rPr>
          <w:rFonts w:eastAsia="Calibri"/>
          <w:sz w:val="18"/>
          <w:szCs w:val="18"/>
          <w:lang w:val="en-US" w:eastAsia="en-US"/>
        </w:rPr>
        <w:t xml:space="preserve">P value </w:t>
      </w:r>
      <w:r w:rsidRPr="00EA55B2">
        <w:rPr>
          <w:rFonts w:eastAsia="Calibri"/>
          <w:kern w:val="2"/>
          <w:sz w:val="18"/>
          <w:szCs w:val="18"/>
          <w:lang w:val="en-US" w:eastAsia="en-US"/>
          <w14:ligatures w14:val="standardContextual"/>
        </w:rPr>
        <w:t>≤ 0.05</w:t>
      </w:r>
      <w:r w:rsidRPr="00EA55B2">
        <w:rPr>
          <w:rFonts w:eastAsia="Calibri"/>
          <w:sz w:val="18"/>
          <w:szCs w:val="18"/>
          <w:lang w:val="en-US" w:eastAsia="en-US"/>
        </w:rPr>
        <w:t xml:space="preserve">, ANOVA followed by Tukey’s post hoc test) Control negative group: (isosaline orally, once daily); diseased group (DMH 40 mg/kg in 1mM EDTA, S.C, twice weekly), </w:t>
      </w:r>
      <w:r w:rsidRPr="00EA55B2">
        <w:rPr>
          <w:rFonts w:eastAsia="Calibri"/>
          <w:i/>
          <w:iCs/>
          <w:sz w:val="18"/>
          <w:szCs w:val="18"/>
          <w:lang w:val="en-US" w:eastAsia="en-US"/>
        </w:rPr>
        <w:t>ad libitum</w:t>
      </w:r>
      <w:r w:rsidRPr="00EA55B2">
        <w:rPr>
          <w:rFonts w:eastAsia="Calibri"/>
          <w:sz w:val="18"/>
          <w:szCs w:val="18"/>
          <w:lang w:val="en-US" w:eastAsia="en-US"/>
        </w:rPr>
        <w:t xml:space="preserve">; standard group DMH as diseased group, plus 5-flurouracil (5- FU, 50 mg/kg, ip once weekly); treated LD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xml:space="preserve">, 150 mg/kg, orally, once daily); treated HD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300 mg/kg, orally, once daily).</w:t>
      </w:r>
    </w:p>
    <w:p w14:paraId="060ADFE1" w14:textId="77777777" w:rsidR="00EA55B2" w:rsidRPr="00EA55B2" w:rsidRDefault="00EA55B2" w:rsidP="00EA55B2">
      <w:pPr>
        <w:spacing w:after="160"/>
        <w:ind w:left="-810" w:firstLine="810"/>
        <w:jc w:val="both"/>
        <w:rPr>
          <w:kern w:val="36"/>
          <w:sz w:val="18"/>
          <w:szCs w:val="18"/>
          <w:lang w:val="en-US" w:eastAsia="en-US"/>
          <w14:ligatures w14:val="standardContextual"/>
        </w:rPr>
      </w:pPr>
    </w:p>
    <w:p w14:paraId="3E307B92" w14:textId="77777777" w:rsidR="008066ED" w:rsidRDefault="008066ED" w:rsidP="00AE3F8C">
      <w:pPr>
        <w:pStyle w:val="Els-body-text"/>
        <w:ind w:firstLine="0"/>
      </w:pPr>
    </w:p>
    <w:p w14:paraId="018CD6D2" w14:textId="77777777" w:rsidR="008066ED" w:rsidRPr="008066ED" w:rsidRDefault="008066ED" w:rsidP="008066ED">
      <w:pPr>
        <w:pStyle w:val="Els-body-text"/>
      </w:pPr>
    </w:p>
    <w:p w14:paraId="16A1421C" w14:textId="0A2729E9" w:rsidR="00181020" w:rsidRDefault="00AE3F8C" w:rsidP="00AE3F8C">
      <w:pPr>
        <w:pStyle w:val="Els-1storder-head"/>
        <w:numPr>
          <w:ilvl w:val="0"/>
          <w:numId w:val="0"/>
        </w:numPr>
        <w:spacing w:before="120" w:after="120" w:line="240" w:lineRule="auto"/>
        <w:jc w:val="center"/>
        <w:rPr>
          <w:color w:val="FF0000"/>
          <w:u w:val="single"/>
        </w:rPr>
      </w:pPr>
      <w:r>
        <w:object w:dxaOrig="4128" w:dyaOrig="4603" w14:anchorId="4B858DCD">
          <v:shape id="_x0000_i1028" type="#_x0000_t75" style="width:174pt;height:195pt" o:ole="">
            <v:imagedata r:id="rId21" o:title=""/>
          </v:shape>
          <o:OLEObject Type="Embed" ProgID="Prism8.Document" ShapeID="_x0000_i1028" DrawAspect="Content" ObjectID="_1833171364" r:id="rId22"/>
        </w:object>
      </w:r>
    </w:p>
    <w:bookmarkStart w:id="17" w:name="_Hlk219782197"/>
    <w:p w14:paraId="051EB824" w14:textId="27C065FA" w:rsidR="00181020" w:rsidRDefault="00774727" w:rsidP="00774727">
      <w:pPr>
        <w:pStyle w:val="Els-1storder-head"/>
        <w:numPr>
          <w:ilvl w:val="0"/>
          <w:numId w:val="0"/>
        </w:numPr>
        <w:spacing w:before="120" w:after="120" w:line="240" w:lineRule="auto"/>
        <w:jc w:val="center"/>
        <w:rPr>
          <w:color w:val="FF0000"/>
          <w:u w:val="single"/>
        </w:rPr>
      </w:pPr>
      <w:r>
        <w:object w:dxaOrig="4128" w:dyaOrig="4603" w14:anchorId="5FD27431">
          <v:shape id="_x0000_i1029" type="#_x0000_t75" style="width:194.25pt;height:174pt" o:ole="">
            <v:imagedata r:id="rId23" o:title=""/>
          </v:shape>
          <o:OLEObject Type="Embed" ProgID="Prism8.Document" ShapeID="_x0000_i1029" DrawAspect="Content" ObjectID="_1833171365" r:id="rId24"/>
        </w:object>
      </w:r>
      <w:bookmarkEnd w:id="17"/>
    </w:p>
    <w:p w14:paraId="1B6C2710" w14:textId="18549276" w:rsidR="00181020" w:rsidRDefault="00AE3F8C" w:rsidP="00AE3F8C">
      <w:pPr>
        <w:pStyle w:val="Els-1storder-head"/>
        <w:numPr>
          <w:ilvl w:val="0"/>
          <w:numId w:val="0"/>
        </w:numPr>
        <w:spacing w:before="120" w:after="120" w:line="240" w:lineRule="auto"/>
        <w:jc w:val="center"/>
        <w:rPr>
          <w:color w:val="FF0000"/>
          <w:u w:val="single"/>
        </w:rPr>
      </w:pPr>
      <w:r>
        <w:object w:dxaOrig="4121" w:dyaOrig="4603" w14:anchorId="37B63065">
          <v:shape id="_x0000_i1030" type="#_x0000_t75" style="width:171.75pt;height:192pt" o:ole="">
            <v:imagedata r:id="rId25" o:title=""/>
          </v:shape>
          <o:OLEObject Type="Embed" ProgID="Prism8.Document" ShapeID="_x0000_i1030" DrawAspect="Content" ObjectID="_1833171366" r:id="rId26"/>
        </w:object>
      </w:r>
    </w:p>
    <w:p w14:paraId="03C8125C" w14:textId="77777777" w:rsidR="00AE3F8C" w:rsidRDefault="00AE3F8C" w:rsidP="00EA55B2">
      <w:pPr>
        <w:pStyle w:val="Els-body-text"/>
        <w:ind w:firstLine="0"/>
      </w:pPr>
    </w:p>
    <w:p w14:paraId="7ACD974C" w14:textId="1803A418" w:rsidR="00AE3F8C" w:rsidRPr="00EA55B2" w:rsidRDefault="00EA55B2" w:rsidP="00EA55B2">
      <w:pPr>
        <w:spacing w:line="480" w:lineRule="auto"/>
        <w:ind w:left="-810"/>
        <w:jc w:val="center"/>
        <w:rPr>
          <w:rFonts w:asciiTheme="majorBidi" w:eastAsia="Calibri" w:hAnsiTheme="majorBidi" w:cstheme="majorBidi"/>
          <w:b/>
          <w:bCs/>
          <w:shd w:val="clear" w:color="auto" w:fill="FFFFFF"/>
        </w:rPr>
      </w:pPr>
      <w:r w:rsidRPr="00864D6E">
        <w:rPr>
          <w:rFonts w:asciiTheme="majorBidi" w:hAnsiTheme="majorBidi" w:cstheme="majorBidi"/>
          <w:b/>
          <w:bCs/>
          <w:sz w:val="18"/>
          <w:szCs w:val="18"/>
          <w:lang w:val="en-US"/>
        </w:rPr>
        <w:t>Fig</w:t>
      </w:r>
      <w:r>
        <w:rPr>
          <w:rFonts w:asciiTheme="majorBidi" w:hAnsiTheme="majorBidi" w:cstheme="majorBidi"/>
          <w:b/>
          <w:bCs/>
          <w:sz w:val="18"/>
          <w:szCs w:val="18"/>
          <w:lang w:val="en-US"/>
        </w:rPr>
        <w:t>.</w:t>
      </w:r>
      <w:r w:rsidRPr="00864D6E">
        <w:rPr>
          <w:rFonts w:asciiTheme="majorBidi" w:hAnsiTheme="majorBidi" w:cstheme="majorBidi"/>
          <w:b/>
          <w:bCs/>
          <w:sz w:val="18"/>
          <w:szCs w:val="18"/>
          <w:lang w:val="en-US"/>
        </w:rPr>
        <w:t xml:space="preserve"> </w:t>
      </w:r>
      <w:r w:rsidR="003F79A4">
        <w:rPr>
          <w:rFonts w:asciiTheme="majorBidi" w:hAnsiTheme="majorBidi" w:cstheme="majorBidi"/>
          <w:b/>
          <w:bCs/>
          <w:sz w:val="18"/>
          <w:szCs w:val="18"/>
          <w:lang w:val="en-US"/>
        </w:rPr>
        <w:t>4</w:t>
      </w:r>
      <w:r w:rsidR="00CC09F3" w:rsidRPr="00934770">
        <w:rPr>
          <w:rFonts w:asciiTheme="majorBidi" w:eastAsia="Calibri" w:hAnsiTheme="majorBidi" w:cstheme="majorBidi"/>
          <w:b/>
          <w:bCs/>
          <w:shd w:val="clear" w:color="auto" w:fill="FFFFFF"/>
        </w:rPr>
        <w:t xml:space="preserve">: Effect of </w:t>
      </w:r>
      <w:r w:rsidR="00CC09F3" w:rsidRPr="00934770">
        <w:rPr>
          <w:rFonts w:asciiTheme="majorBidi" w:eastAsia="Calibri" w:hAnsiTheme="majorBidi" w:cstheme="majorBidi"/>
          <w:b/>
          <w:bCs/>
          <w:i/>
          <w:iCs/>
          <w:shd w:val="clear" w:color="auto" w:fill="FFFFFF"/>
        </w:rPr>
        <w:t xml:space="preserve">VRE </w:t>
      </w:r>
      <w:r w:rsidR="00CC09F3" w:rsidRPr="00934770">
        <w:rPr>
          <w:rFonts w:asciiTheme="majorBidi" w:eastAsia="Calibri" w:hAnsiTheme="majorBidi" w:cstheme="majorBidi"/>
          <w:b/>
          <w:bCs/>
          <w:shd w:val="clear" w:color="auto" w:fill="FFFFFF"/>
        </w:rPr>
        <w:t>on</w:t>
      </w:r>
      <w:r w:rsidR="00CC09F3" w:rsidRPr="00934770">
        <w:rPr>
          <w:rFonts w:asciiTheme="majorBidi" w:eastAsia="Calibri" w:hAnsiTheme="majorBidi" w:cstheme="majorBidi"/>
          <w:b/>
          <w:bCs/>
          <w:i/>
          <w:iCs/>
          <w:shd w:val="clear" w:color="auto" w:fill="FFFFFF"/>
        </w:rPr>
        <w:t xml:space="preserve"> </w:t>
      </w:r>
      <w:bookmarkStart w:id="18" w:name="_Hlk219606825"/>
      <w:r w:rsidR="00CC09F3" w:rsidRPr="00934770">
        <w:rPr>
          <w:rFonts w:asciiTheme="majorBidi" w:eastAsia="Calibri" w:hAnsiTheme="majorBidi" w:cstheme="majorBidi"/>
          <w:b/>
          <w:bCs/>
          <w:shd w:val="clear" w:color="auto" w:fill="FFFFFF"/>
        </w:rPr>
        <w:t>MCV (Fl), MCH (pg), and MCHC (%).</w:t>
      </w:r>
      <w:bookmarkEnd w:id="18"/>
    </w:p>
    <w:p w14:paraId="7C65E2B7" w14:textId="0711928E" w:rsidR="00EA55B2" w:rsidRPr="00EA55B2" w:rsidRDefault="00EA55B2" w:rsidP="00EA55B2">
      <w:pPr>
        <w:spacing w:after="160"/>
        <w:ind w:firstLine="283"/>
        <w:jc w:val="both"/>
        <w:rPr>
          <w:rFonts w:eastAsia="Calibri"/>
          <w:b/>
          <w:bCs/>
          <w:sz w:val="18"/>
          <w:szCs w:val="18"/>
          <w:shd w:val="clear" w:color="auto" w:fill="FFFFFF"/>
          <w:lang w:val="en-US" w:eastAsia="en-US"/>
        </w:rPr>
      </w:pPr>
      <w:r w:rsidRPr="00EA55B2">
        <w:rPr>
          <w:rFonts w:eastAsia="Calibri"/>
          <w:sz w:val="18"/>
          <w:szCs w:val="18"/>
          <w:shd w:val="clear" w:color="auto" w:fill="FFFFFF"/>
          <w:lang w:val="en-US" w:eastAsia="en-US"/>
        </w:rPr>
        <w:t xml:space="preserve">Bar graph demonstrating the effects </w:t>
      </w:r>
      <w:r w:rsidRPr="00EA55B2">
        <w:rPr>
          <w:rFonts w:eastAsia="Calibri"/>
          <w:i/>
          <w:iCs/>
          <w:sz w:val="18"/>
          <w:szCs w:val="18"/>
          <w:shd w:val="clear" w:color="auto" w:fill="FFFFFF"/>
          <w:lang w:val="en-US" w:eastAsia="en-US"/>
        </w:rPr>
        <w:t xml:space="preserve">VRE </w:t>
      </w:r>
      <w:r w:rsidRPr="00EA55B2">
        <w:rPr>
          <w:rFonts w:eastAsia="Calibri"/>
          <w:sz w:val="18"/>
          <w:szCs w:val="18"/>
          <w:shd w:val="clear" w:color="auto" w:fill="FFFFFF"/>
          <w:lang w:val="en-US" w:eastAsia="en-US"/>
        </w:rPr>
        <w:t xml:space="preserve">and 5-FU on MCV (Fl), MCH (pg), and MCHC (%) in normal rats (negative control) and those received </w:t>
      </w:r>
      <w:r w:rsidRPr="00EA55B2">
        <w:rPr>
          <w:rFonts w:eastAsia="Calibri"/>
          <w:sz w:val="18"/>
          <w:szCs w:val="18"/>
          <w:lang w:val="en-US" w:eastAsia="en-US"/>
        </w:rPr>
        <w:t>(DMH 40 mg/kg) after 6 weeks of different treatments. Values are presented as means ± SE of 4 rats/group.</w:t>
      </w:r>
      <w:r>
        <w:rPr>
          <w:rFonts w:eastAsia="Calibri"/>
          <w:b/>
          <w:bCs/>
          <w:sz w:val="18"/>
          <w:szCs w:val="18"/>
          <w:shd w:val="clear" w:color="auto" w:fill="FFFFFF"/>
          <w:lang w:val="en-US" w:eastAsia="en-US"/>
        </w:rPr>
        <w:t xml:space="preserve"> </w:t>
      </w:r>
      <w:r w:rsidRPr="00EA55B2">
        <w:rPr>
          <w:rFonts w:eastAsia="Calibri"/>
          <w:sz w:val="18"/>
          <w:szCs w:val="18"/>
          <w:lang w:val="en-US" w:eastAsia="en-US"/>
        </w:rPr>
        <w:t xml:space="preserve">Bars with different letters are significantly different </w:t>
      </w:r>
      <w:r w:rsidRPr="00EA55B2">
        <w:rPr>
          <w:kern w:val="36"/>
          <w:sz w:val="18"/>
          <w:szCs w:val="18"/>
          <w:lang w:val="en-US" w:eastAsia="en-US"/>
        </w:rPr>
        <w:t>(</w:t>
      </w:r>
      <w:r w:rsidRPr="00EA55B2">
        <w:rPr>
          <w:rFonts w:eastAsia="Calibri"/>
          <w:sz w:val="18"/>
          <w:szCs w:val="18"/>
          <w:lang w:val="en-US" w:eastAsia="en-US"/>
        </w:rPr>
        <w:t xml:space="preserve">P value </w:t>
      </w:r>
      <w:r w:rsidRPr="00EA55B2">
        <w:rPr>
          <w:rFonts w:eastAsia="Calibri"/>
          <w:kern w:val="2"/>
          <w:sz w:val="18"/>
          <w:szCs w:val="18"/>
          <w:lang w:val="en-US" w:eastAsia="en-US"/>
          <w14:ligatures w14:val="standardContextual"/>
        </w:rPr>
        <w:t>≤ 0.05</w:t>
      </w:r>
      <w:r w:rsidRPr="00EA55B2">
        <w:rPr>
          <w:rFonts w:eastAsia="Calibri"/>
          <w:sz w:val="18"/>
          <w:szCs w:val="18"/>
          <w:lang w:val="en-US" w:eastAsia="en-US"/>
        </w:rPr>
        <w:t xml:space="preserve">, ANOVA followed by Tukey’s post hoc test) Control negative group: (isosaline orally, once daily); diseased group (DMH 40 mg/kg in 1mM EDTA, S.C, twice weekly), </w:t>
      </w:r>
      <w:r w:rsidRPr="00EA55B2">
        <w:rPr>
          <w:rFonts w:eastAsia="Calibri"/>
          <w:i/>
          <w:iCs/>
          <w:sz w:val="18"/>
          <w:szCs w:val="18"/>
          <w:lang w:val="en-US" w:eastAsia="en-US"/>
        </w:rPr>
        <w:t>ad libitum</w:t>
      </w:r>
      <w:r w:rsidRPr="00EA55B2">
        <w:rPr>
          <w:rFonts w:eastAsia="Calibri"/>
          <w:sz w:val="18"/>
          <w:szCs w:val="18"/>
          <w:lang w:val="en-US" w:eastAsia="en-US"/>
        </w:rPr>
        <w:t xml:space="preserve">; standard group DMH as diseased group, plus 5-flurouracil (5- FU, 50 mg/kg, ip once weekly); treated LD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xml:space="preserve">, 150 mg/kg, orally, once daily); treated HD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300 mg/kg, orally, once daily).</w:t>
      </w:r>
    </w:p>
    <w:p w14:paraId="2159782B" w14:textId="79070980" w:rsidR="00095911" w:rsidRPr="00EA55B2" w:rsidRDefault="00095911" w:rsidP="007F0424">
      <w:pPr>
        <w:pStyle w:val="NormalWeb"/>
        <w:rPr>
          <w:sz w:val="18"/>
          <w:szCs w:val="18"/>
          <w:lang w:val="en-US" w:eastAsia="en-US"/>
        </w:rPr>
      </w:pPr>
    </w:p>
    <w:p w14:paraId="471BF131" w14:textId="3D9694D3" w:rsidR="00C710BE" w:rsidRPr="003F79A4" w:rsidRDefault="007F0424" w:rsidP="003F79A4">
      <w:pPr>
        <w:pStyle w:val="NormalWeb"/>
        <w:jc w:val="center"/>
        <w:rPr>
          <w:rtl/>
          <w:lang w:val="en-US" w:eastAsia="en-US"/>
        </w:rPr>
      </w:pPr>
      <w:r>
        <w:rPr>
          <w:noProof/>
        </w:rPr>
        <w:drawing>
          <wp:inline distT="0" distB="0" distL="0" distR="0" wp14:anchorId="576D37AF" wp14:editId="63A41FB0">
            <wp:extent cx="2646736" cy="2667000"/>
            <wp:effectExtent l="0" t="0" r="127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3523" cy="2673839"/>
                    </a:xfrm>
                    <a:prstGeom prst="rect">
                      <a:avLst/>
                    </a:prstGeom>
                    <a:noFill/>
                    <a:ln>
                      <a:noFill/>
                    </a:ln>
                  </pic:spPr>
                </pic:pic>
              </a:graphicData>
            </a:graphic>
          </wp:inline>
        </w:drawing>
      </w:r>
    </w:p>
    <w:p w14:paraId="364523C0" w14:textId="77777777" w:rsidR="00C710BE" w:rsidRDefault="00C710BE" w:rsidP="00AE3F8C">
      <w:pPr>
        <w:pStyle w:val="Els-body-text"/>
        <w:rPr>
          <w:rtl/>
        </w:rPr>
      </w:pPr>
    </w:p>
    <w:p w14:paraId="6A98C17A" w14:textId="3E926915" w:rsidR="00095911" w:rsidRPr="00F178BD" w:rsidRDefault="00C3399E" w:rsidP="00C3399E">
      <w:pPr>
        <w:spacing w:line="480" w:lineRule="auto"/>
        <w:jc w:val="center"/>
        <w:rPr>
          <w:rFonts w:asciiTheme="majorBidi" w:eastAsia="Calibri" w:hAnsiTheme="majorBidi" w:cstheme="majorBidi"/>
          <w:b/>
          <w:bCs/>
          <w:shd w:val="clear" w:color="auto" w:fill="FFFFFF"/>
        </w:rPr>
      </w:pPr>
      <w:r>
        <w:object w:dxaOrig="4174" w:dyaOrig="4603" w14:anchorId="531A99FD">
          <v:shape id="_x0000_i1031" type="#_x0000_t75" style="width:220.5pt;height:206.25pt" o:ole="">
            <v:imagedata r:id="rId28" o:title=""/>
          </v:shape>
          <o:OLEObject Type="Embed" ProgID="Prism8.Document" ShapeID="_x0000_i1031" DrawAspect="Content" ObjectID="_1833171367" r:id="rId29"/>
        </w:object>
      </w:r>
    </w:p>
    <w:p w14:paraId="44EDCCBE" w14:textId="77777777" w:rsidR="00CA61A8" w:rsidRDefault="00CA61A8" w:rsidP="00CA61A8">
      <w:pPr>
        <w:pStyle w:val="Els-body-text"/>
        <w:ind w:firstLine="0"/>
      </w:pPr>
    </w:p>
    <w:p w14:paraId="7E885C20" w14:textId="77777777" w:rsidR="00CA61A8" w:rsidRDefault="00CA61A8" w:rsidP="00CA61A8">
      <w:pPr>
        <w:pStyle w:val="Els-body-text"/>
        <w:ind w:firstLine="0"/>
      </w:pPr>
    </w:p>
    <w:p w14:paraId="3CC49D25" w14:textId="77777777" w:rsidR="00CA61A8" w:rsidRDefault="00CA61A8" w:rsidP="00CA61A8">
      <w:pPr>
        <w:pStyle w:val="Els-body-text"/>
        <w:ind w:firstLine="0"/>
      </w:pPr>
    </w:p>
    <w:p w14:paraId="2AE1CACA" w14:textId="77777777" w:rsidR="00CA61A8" w:rsidRDefault="00CA61A8" w:rsidP="00CA61A8">
      <w:pPr>
        <w:pStyle w:val="Els-body-text"/>
        <w:ind w:firstLine="0"/>
      </w:pPr>
    </w:p>
    <w:p w14:paraId="72282BDF" w14:textId="77777777" w:rsidR="00CA61A8" w:rsidRDefault="00CA61A8" w:rsidP="00CA61A8">
      <w:pPr>
        <w:pStyle w:val="Els-body-text"/>
        <w:ind w:firstLine="0"/>
      </w:pPr>
    </w:p>
    <w:p w14:paraId="395F7CDE" w14:textId="77777777" w:rsidR="00CA61A8" w:rsidRDefault="00CA61A8" w:rsidP="00CA61A8">
      <w:pPr>
        <w:pStyle w:val="Els-body-text"/>
        <w:ind w:firstLine="0"/>
      </w:pPr>
    </w:p>
    <w:p w14:paraId="628DE6EF" w14:textId="77777777" w:rsidR="00CA61A8" w:rsidRDefault="00CA61A8" w:rsidP="00CA61A8">
      <w:pPr>
        <w:pStyle w:val="Els-body-text"/>
        <w:ind w:firstLine="0"/>
      </w:pPr>
    </w:p>
    <w:p w14:paraId="59150F07" w14:textId="6C27F750" w:rsidR="007F0424" w:rsidRDefault="007F0424" w:rsidP="007F0424">
      <w:pPr>
        <w:pStyle w:val="NormalWeb"/>
        <w:jc w:val="center"/>
        <w:rPr>
          <w:noProof/>
        </w:rPr>
      </w:pPr>
    </w:p>
    <w:p w14:paraId="7E9DD232" w14:textId="2A607EEA" w:rsidR="007F0424" w:rsidRDefault="00CA61A8" w:rsidP="003F79A4">
      <w:pPr>
        <w:pStyle w:val="NormalWeb"/>
        <w:jc w:val="center"/>
        <w:rPr>
          <w:lang w:val="en-US" w:eastAsia="en-US"/>
        </w:rPr>
      </w:pPr>
      <w:r>
        <w:rPr>
          <w:noProof/>
        </w:rPr>
        <w:lastRenderedPageBreak/>
        <w:drawing>
          <wp:inline distT="0" distB="0" distL="0" distR="0" wp14:anchorId="579243EB" wp14:editId="21D34075">
            <wp:extent cx="3095625" cy="2675890"/>
            <wp:effectExtent l="0" t="0" r="9525" b="0"/>
            <wp:docPr id="825769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5392" cy="2692977"/>
                    </a:xfrm>
                    <a:prstGeom prst="rect">
                      <a:avLst/>
                    </a:prstGeom>
                    <a:noFill/>
                    <a:ln>
                      <a:noFill/>
                    </a:ln>
                  </pic:spPr>
                </pic:pic>
              </a:graphicData>
            </a:graphic>
          </wp:inline>
        </w:drawing>
      </w:r>
    </w:p>
    <w:p w14:paraId="71FA3B82" w14:textId="7CE82542" w:rsidR="002501DF" w:rsidRDefault="00CA61A8" w:rsidP="00774727">
      <w:pPr>
        <w:pStyle w:val="Els-body-text"/>
        <w:ind w:firstLine="0"/>
        <w:rPr>
          <w:rtl/>
        </w:rPr>
      </w:pPr>
      <w:r>
        <w:rPr>
          <w:noProof/>
        </w:rPr>
        <w:drawing>
          <wp:inline distT="0" distB="0" distL="0" distR="0" wp14:anchorId="70EA624A" wp14:editId="6AC9A0E6">
            <wp:extent cx="2619375" cy="2924175"/>
            <wp:effectExtent l="0" t="0" r="0" b="0"/>
            <wp:docPr id="149344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9375" cy="2924175"/>
                    </a:xfrm>
                    <a:prstGeom prst="rect">
                      <a:avLst/>
                    </a:prstGeom>
                    <a:noFill/>
                    <a:ln>
                      <a:noFill/>
                    </a:ln>
                  </pic:spPr>
                </pic:pic>
              </a:graphicData>
            </a:graphic>
          </wp:inline>
        </w:drawing>
      </w:r>
    </w:p>
    <w:p w14:paraId="35952D0F" w14:textId="3E54E214" w:rsidR="00CA61A8" w:rsidRPr="00EA55B2" w:rsidRDefault="007F0424" w:rsidP="00EA55B2">
      <w:pPr>
        <w:pStyle w:val="NormalWeb"/>
        <w:jc w:val="center"/>
        <w:rPr>
          <w:lang w:val="en-US" w:eastAsia="en-US"/>
        </w:rPr>
      </w:pPr>
      <w:r>
        <w:rPr>
          <w:noProof/>
        </w:rPr>
        <w:drawing>
          <wp:inline distT="0" distB="0" distL="0" distR="0" wp14:anchorId="50336955" wp14:editId="5A594E62">
            <wp:extent cx="2705100" cy="2826873"/>
            <wp:effectExtent l="0" t="0" r="0" b="0"/>
            <wp:docPr id="792608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10199" cy="2832202"/>
                    </a:xfrm>
                    <a:prstGeom prst="rect">
                      <a:avLst/>
                    </a:prstGeom>
                    <a:noFill/>
                    <a:ln>
                      <a:noFill/>
                    </a:ln>
                  </pic:spPr>
                </pic:pic>
              </a:graphicData>
            </a:graphic>
          </wp:inline>
        </w:drawing>
      </w:r>
    </w:p>
    <w:p w14:paraId="74A072AE" w14:textId="77777777" w:rsidR="00CA61A8" w:rsidRDefault="00CA61A8" w:rsidP="00CA61A8">
      <w:pPr>
        <w:pStyle w:val="Els-body-text"/>
        <w:ind w:firstLine="0"/>
      </w:pPr>
    </w:p>
    <w:p w14:paraId="59D0F6D7" w14:textId="5A250C1C" w:rsidR="00CA61A8" w:rsidRPr="00EA55B2" w:rsidRDefault="00EA55B2" w:rsidP="003F79A4">
      <w:pPr>
        <w:spacing w:after="160" w:line="480" w:lineRule="auto"/>
        <w:jc w:val="center"/>
        <w:rPr>
          <w:rFonts w:eastAsia="Calibri"/>
          <w:b/>
          <w:bCs/>
          <w:shd w:val="clear" w:color="auto" w:fill="FFFFFF"/>
          <w:lang w:val="en-US" w:eastAsia="en-US"/>
        </w:rPr>
      </w:pPr>
      <w:r w:rsidRPr="00864D6E">
        <w:rPr>
          <w:rFonts w:asciiTheme="majorBidi" w:hAnsiTheme="majorBidi" w:cstheme="majorBidi"/>
          <w:b/>
          <w:bCs/>
          <w:sz w:val="18"/>
          <w:szCs w:val="18"/>
          <w:lang w:val="en-US"/>
        </w:rPr>
        <w:t>Fig</w:t>
      </w:r>
      <w:r>
        <w:rPr>
          <w:rFonts w:asciiTheme="majorBidi" w:hAnsiTheme="majorBidi" w:cstheme="majorBidi"/>
          <w:b/>
          <w:bCs/>
          <w:sz w:val="18"/>
          <w:szCs w:val="18"/>
          <w:lang w:val="en-US"/>
        </w:rPr>
        <w:t>.</w:t>
      </w:r>
      <w:r w:rsidRPr="00864D6E">
        <w:rPr>
          <w:rFonts w:asciiTheme="majorBidi" w:hAnsiTheme="majorBidi" w:cstheme="majorBidi"/>
          <w:b/>
          <w:bCs/>
          <w:sz w:val="18"/>
          <w:szCs w:val="18"/>
          <w:lang w:val="en-US"/>
        </w:rPr>
        <w:t xml:space="preserve"> </w:t>
      </w:r>
      <w:r w:rsidR="003F79A4">
        <w:rPr>
          <w:rFonts w:asciiTheme="majorBidi" w:hAnsiTheme="majorBidi" w:cstheme="majorBidi"/>
          <w:b/>
          <w:bCs/>
          <w:sz w:val="18"/>
          <w:szCs w:val="18"/>
          <w:lang w:val="en-US"/>
        </w:rPr>
        <w:t>5</w:t>
      </w:r>
      <w:r w:rsidR="007F0424" w:rsidRPr="007F0424">
        <w:rPr>
          <w:rFonts w:eastAsia="Calibri"/>
          <w:b/>
          <w:bCs/>
          <w:shd w:val="clear" w:color="auto" w:fill="FFFFFF"/>
          <w:lang w:val="en-US" w:eastAsia="en-US"/>
        </w:rPr>
        <w:t xml:space="preserve">: Effect of </w:t>
      </w:r>
      <w:r w:rsidR="007F0424" w:rsidRPr="007F0424">
        <w:rPr>
          <w:rFonts w:eastAsia="Calibri"/>
          <w:b/>
          <w:bCs/>
          <w:i/>
          <w:iCs/>
          <w:shd w:val="clear" w:color="auto" w:fill="FFFFFF"/>
          <w:lang w:val="en-US" w:eastAsia="en-US"/>
        </w:rPr>
        <w:t xml:space="preserve">VRE </w:t>
      </w:r>
      <w:r w:rsidR="007F0424" w:rsidRPr="007F0424">
        <w:rPr>
          <w:rFonts w:eastAsia="Calibri"/>
          <w:b/>
          <w:bCs/>
          <w:shd w:val="clear" w:color="auto" w:fill="FFFFFF"/>
          <w:lang w:val="en-US" w:eastAsia="en-US"/>
        </w:rPr>
        <w:t>on</w:t>
      </w:r>
      <w:r w:rsidR="003F79A4" w:rsidRPr="003F79A4">
        <w:rPr>
          <w:rFonts w:eastAsia="Calibri"/>
          <w:b/>
          <w:bCs/>
          <w:shd w:val="clear" w:color="auto" w:fill="FFFFFF"/>
          <w:lang w:val="en-US" w:eastAsia="en-US"/>
        </w:rPr>
        <w:t xml:space="preserve"> </w:t>
      </w:r>
      <w:r w:rsidR="003F79A4" w:rsidRPr="00C3399E">
        <w:rPr>
          <w:rFonts w:eastAsia="Calibri"/>
          <w:b/>
          <w:bCs/>
          <w:shd w:val="clear" w:color="auto" w:fill="FFFFFF"/>
          <w:lang w:val="en-US" w:eastAsia="en-US"/>
        </w:rPr>
        <w:t xml:space="preserve">total leukocyte </w:t>
      </w:r>
      <w:r w:rsidR="003F79A4" w:rsidRPr="000B5D6F">
        <w:rPr>
          <w:rFonts w:asciiTheme="majorBidi" w:hAnsiTheme="majorBidi" w:cstheme="majorBidi"/>
          <w:b/>
          <w:bCs/>
        </w:rPr>
        <w:t>count (10</w:t>
      </w:r>
      <w:r w:rsidR="003F79A4" w:rsidRPr="000B5D6F">
        <w:rPr>
          <w:rFonts w:asciiTheme="majorBidi" w:hAnsiTheme="majorBidi" w:cstheme="majorBidi"/>
          <w:b/>
          <w:bCs/>
          <w:vertAlign w:val="superscript"/>
        </w:rPr>
        <w:t>9</w:t>
      </w:r>
      <w:r w:rsidR="003F79A4" w:rsidRPr="000B5D6F">
        <w:rPr>
          <w:rFonts w:asciiTheme="majorBidi" w:hAnsiTheme="majorBidi" w:cstheme="majorBidi"/>
          <w:b/>
          <w:bCs/>
        </w:rPr>
        <w:t>/L)</w:t>
      </w:r>
      <w:r w:rsidR="007F0424" w:rsidRPr="007F0424">
        <w:rPr>
          <w:rFonts w:eastAsia="Calibri"/>
          <w:b/>
          <w:bCs/>
          <w:i/>
          <w:iCs/>
          <w:shd w:val="clear" w:color="auto" w:fill="FFFFFF"/>
          <w:lang w:val="en-US" w:eastAsia="en-US"/>
        </w:rPr>
        <w:t xml:space="preserve"> </w:t>
      </w:r>
      <w:bookmarkStart w:id="19" w:name="_Hlk219525253"/>
      <w:r w:rsidR="007F0424" w:rsidRPr="007F0424">
        <w:rPr>
          <w:b/>
          <w:bCs/>
          <w:kern w:val="36"/>
          <w:lang w:val="en-US" w:eastAsia="en-US"/>
          <w14:ligatures w14:val="standardContextual"/>
        </w:rPr>
        <w:t>Neutrophils (10</w:t>
      </w:r>
      <w:r w:rsidR="007F0424" w:rsidRPr="007F0424">
        <w:rPr>
          <w:b/>
          <w:bCs/>
          <w:kern w:val="36"/>
          <w:vertAlign w:val="superscript"/>
          <w:lang w:val="en-US" w:eastAsia="en-US"/>
          <w14:ligatures w14:val="standardContextual"/>
        </w:rPr>
        <w:t>9</w:t>
      </w:r>
      <w:r w:rsidR="007F0424" w:rsidRPr="007F0424">
        <w:rPr>
          <w:b/>
          <w:bCs/>
          <w:kern w:val="36"/>
          <w:rtl/>
          <w:lang w:val="en-US" w:eastAsia="en-US" w:bidi="ar-EG"/>
          <w14:ligatures w14:val="standardContextual"/>
        </w:rPr>
        <w:t>/</w:t>
      </w:r>
      <w:r w:rsidR="007F0424" w:rsidRPr="007F0424">
        <w:rPr>
          <w:b/>
          <w:bCs/>
          <w:kern w:val="36"/>
          <w:lang w:val="en-US" w:eastAsia="en-US" w:bidi="ar-EG"/>
          <w14:ligatures w14:val="standardContextual"/>
        </w:rPr>
        <w:t xml:space="preserve">L), Lymphocytes </w:t>
      </w:r>
      <w:r w:rsidR="007F0424" w:rsidRPr="007F0424">
        <w:rPr>
          <w:b/>
          <w:bCs/>
          <w:kern w:val="36"/>
          <w:lang w:val="en-US" w:eastAsia="en-US"/>
          <w14:ligatures w14:val="standardContextual"/>
        </w:rPr>
        <w:t>(10</w:t>
      </w:r>
      <w:r w:rsidR="007F0424" w:rsidRPr="007F0424">
        <w:rPr>
          <w:b/>
          <w:bCs/>
          <w:kern w:val="36"/>
          <w:vertAlign w:val="superscript"/>
          <w:lang w:val="en-US" w:eastAsia="en-US"/>
          <w14:ligatures w14:val="standardContextual"/>
        </w:rPr>
        <w:t>9</w:t>
      </w:r>
      <w:r w:rsidR="007F0424" w:rsidRPr="007F0424">
        <w:rPr>
          <w:b/>
          <w:bCs/>
          <w:kern w:val="36"/>
          <w:rtl/>
          <w:lang w:val="en-US" w:eastAsia="en-US" w:bidi="ar-EG"/>
          <w14:ligatures w14:val="standardContextual"/>
        </w:rPr>
        <w:t>/</w:t>
      </w:r>
      <w:r w:rsidR="007F0424" w:rsidRPr="007F0424">
        <w:rPr>
          <w:b/>
          <w:bCs/>
          <w:kern w:val="36"/>
          <w:lang w:val="en-US" w:eastAsia="en-US" w:bidi="ar-EG"/>
          <w14:ligatures w14:val="standardContextual"/>
        </w:rPr>
        <w:t xml:space="preserve">L), and Monocytes </w:t>
      </w:r>
      <w:r w:rsidR="007F0424" w:rsidRPr="007F0424">
        <w:rPr>
          <w:b/>
          <w:bCs/>
          <w:kern w:val="36"/>
          <w:lang w:val="en-US" w:eastAsia="en-US"/>
          <w14:ligatures w14:val="standardContextual"/>
        </w:rPr>
        <w:t>(10</w:t>
      </w:r>
      <w:r w:rsidR="007F0424" w:rsidRPr="007F0424">
        <w:rPr>
          <w:b/>
          <w:bCs/>
          <w:kern w:val="36"/>
          <w:vertAlign w:val="superscript"/>
          <w:lang w:val="en-US" w:eastAsia="en-US"/>
          <w14:ligatures w14:val="standardContextual"/>
        </w:rPr>
        <w:t>9</w:t>
      </w:r>
      <w:r w:rsidR="007F0424" w:rsidRPr="007F0424">
        <w:rPr>
          <w:b/>
          <w:bCs/>
          <w:kern w:val="36"/>
          <w:rtl/>
          <w:lang w:val="en-US" w:eastAsia="en-US" w:bidi="ar-EG"/>
          <w14:ligatures w14:val="standardContextual"/>
        </w:rPr>
        <w:t>/</w:t>
      </w:r>
      <w:r w:rsidR="007F0424" w:rsidRPr="007F0424">
        <w:rPr>
          <w:b/>
          <w:bCs/>
          <w:kern w:val="36"/>
          <w:lang w:val="en-US" w:eastAsia="en-US" w:bidi="ar-EG"/>
          <w14:ligatures w14:val="standardContextual"/>
        </w:rPr>
        <w:t>L)</w:t>
      </w:r>
      <w:r w:rsidR="007F0424" w:rsidRPr="007F0424">
        <w:rPr>
          <w:rFonts w:eastAsia="Calibri"/>
          <w:b/>
          <w:bCs/>
          <w:shd w:val="clear" w:color="auto" w:fill="FFFFFF"/>
          <w:lang w:val="en-US" w:eastAsia="en-US"/>
        </w:rPr>
        <w:t>.</w:t>
      </w:r>
      <w:bookmarkEnd w:id="19"/>
    </w:p>
    <w:p w14:paraId="5235BD86" w14:textId="4310321E" w:rsidR="00EA55B2" w:rsidRPr="00EA55B2" w:rsidRDefault="00EA55B2" w:rsidP="00EA55B2">
      <w:pPr>
        <w:spacing w:after="160"/>
        <w:ind w:left="-810" w:firstLine="810"/>
        <w:jc w:val="both"/>
        <w:rPr>
          <w:rFonts w:eastAsia="Calibri"/>
          <w:sz w:val="18"/>
          <w:szCs w:val="18"/>
          <w:lang w:val="en-US" w:eastAsia="en-US"/>
        </w:rPr>
      </w:pPr>
      <w:r w:rsidRPr="00EA55B2">
        <w:rPr>
          <w:rFonts w:eastAsia="Calibri"/>
          <w:sz w:val="18"/>
          <w:szCs w:val="18"/>
          <w:shd w:val="clear" w:color="auto" w:fill="FFFFFF"/>
          <w:lang w:val="en-US" w:eastAsia="en-US"/>
        </w:rPr>
        <w:t xml:space="preserve">Bar graph demonstrating the effects </w:t>
      </w:r>
      <w:r w:rsidRPr="00EA55B2">
        <w:rPr>
          <w:rFonts w:eastAsia="Calibri"/>
          <w:i/>
          <w:iCs/>
          <w:sz w:val="18"/>
          <w:szCs w:val="18"/>
          <w:shd w:val="clear" w:color="auto" w:fill="FFFFFF"/>
          <w:lang w:val="en-US" w:eastAsia="en-US"/>
        </w:rPr>
        <w:t xml:space="preserve">VRE </w:t>
      </w:r>
      <w:r w:rsidRPr="00EA55B2">
        <w:rPr>
          <w:rFonts w:eastAsia="Calibri"/>
          <w:sz w:val="18"/>
          <w:szCs w:val="18"/>
          <w:shd w:val="clear" w:color="auto" w:fill="FFFFFF"/>
          <w:lang w:val="en-US" w:eastAsia="en-US"/>
        </w:rPr>
        <w:t xml:space="preserve">and 5-FU on Neutrophils (109/L), Lymphocytes (109/L), and Monocytes (109/L), in normal rats (negative control) and those received </w:t>
      </w:r>
      <w:r w:rsidRPr="00EA55B2">
        <w:rPr>
          <w:rFonts w:eastAsia="Calibri"/>
          <w:sz w:val="18"/>
          <w:szCs w:val="18"/>
          <w:lang w:val="en-US" w:eastAsia="en-US"/>
        </w:rPr>
        <w:t>(DMH 40 mg/kg) after 6 weeks of different treatments. Values are presented as means ± SE of 4 rats/group.</w:t>
      </w:r>
      <w:r>
        <w:rPr>
          <w:rFonts w:eastAsia="Calibri"/>
          <w:sz w:val="18"/>
          <w:szCs w:val="18"/>
          <w:lang w:val="en-US" w:eastAsia="en-US"/>
        </w:rPr>
        <w:t xml:space="preserve"> </w:t>
      </w:r>
      <w:r w:rsidRPr="00EA55B2">
        <w:rPr>
          <w:rFonts w:eastAsia="Calibri"/>
          <w:sz w:val="18"/>
          <w:szCs w:val="18"/>
          <w:lang w:val="en-US" w:eastAsia="en-US"/>
        </w:rPr>
        <w:t xml:space="preserve">Bars with different letters are significantly different </w:t>
      </w:r>
      <w:r w:rsidRPr="00EA55B2">
        <w:rPr>
          <w:kern w:val="36"/>
          <w:sz w:val="18"/>
          <w:szCs w:val="18"/>
          <w:lang w:val="en-US" w:eastAsia="en-US"/>
        </w:rPr>
        <w:t>(</w:t>
      </w:r>
      <w:r w:rsidRPr="00EA55B2">
        <w:rPr>
          <w:rFonts w:eastAsia="Calibri"/>
          <w:sz w:val="18"/>
          <w:szCs w:val="18"/>
          <w:lang w:val="en-US" w:eastAsia="en-US"/>
        </w:rPr>
        <w:t xml:space="preserve">P value </w:t>
      </w:r>
      <w:r w:rsidRPr="00EA55B2">
        <w:rPr>
          <w:rFonts w:eastAsia="Calibri"/>
          <w:kern w:val="2"/>
          <w:sz w:val="18"/>
          <w:szCs w:val="18"/>
          <w:lang w:val="en-US" w:eastAsia="en-US"/>
          <w14:ligatures w14:val="standardContextual"/>
        </w:rPr>
        <w:t>≤ 0.05</w:t>
      </w:r>
      <w:r w:rsidRPr="00EA55B2">
        <w:rPr>
          <w:rFonts w:eastAsia="Calibri"/>
          <w:sz w:val="18"/>
          <w:szCs w:val="18"/>
          <w:lang w:val="en-US" w:eastAsia="en-US"/>
        </w:rPr>
        <w:t xml:space="preserve">, ANOVA followed by Tukey’s post hoc test) Control negative group: (isosaline orally, once daily); diseased group (DMH 40 mg/kg in 1mM EDTA, S.C, twice weekly), </w:t>
      </w:r>
      <w:r w:rsidRPr="00EA55B2">
        <w:rPr>
          <w:rFonts w:eastAsia="Calibri"/>
          <w:i/>
          <w:iCs/>
          <w:sz w:val="18"/>
          <w:szCs w:val="18"/>
          <w:lang w:val="en-US" w:eastAsia="en-US"/>
        </w:rPr>
        <w:t>ad libitum</w:t>
      </w:r>
      <w:r w:rsidRPr="00EA55B2">
        <w:rPr>
          <w:rFonts w:eastAsia="Calibri"/>
          <w:sz w:val="18"/>
          <w:szCs w:val="18"/>
          <w:lang w:val="en-US" w:eastAsia="en-US"/>
        </w:rPr>
        <w:t xml:space="preserve">; standard group DMH as diseased group, plus 5-flurouracil (5- FU, 50 mg/kg, ip once weekly); treated LD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xml:space="preserve">, 150 mg/kg, orally, once daily); treated HD of </w:t>
      </w:r>
      <w:r w:rsidRPr="00EA55B2">
        <w:rPr>
          <w:rFonts w:eastAsia="Calibri"/>
          <w:i/>
          <w:iCs/>
          <w:sz w:val="18"/>
          <w:szCs w:val="18"/>
          <w:lang w:val="en-US" w:eastAsia="en-US"/>
        </w:rPr>
        <w:t>VRE</w:t>
      </w:r>
      <w:r w:rsidRPr="00EA55B2">
        <w:rPr>
          <w:rFonts w:eastAsia="Calibri"/>
          <w:sz w:val="18"/>
          <w:szCs w:val="18"/>
          <w:lang w:val="en-US" w:eastAsia="en-US"/>
        </w:rPr>
        <w:t>:</w:t>
      </w:r>
      <w:r w:rsidRPr="00EA55B2">
        <w:rPr>
          <w:rFonts w:eastAsia="Calibri"/>
          <w:i/>
          <w:iCs/>
          <w:sz w:val="18"/>
          <w:szCs w:val="18"/>
          <w:lang w:val="en-US" w:eastAsia="en-US"/>
        </w:rPr>
        <w:t xml:space="preserve"> </w:t>
      </w:r>
      <w:r w:rsidRPr="00EA55B2">
        <w:rPr>
          <w:rFonts w:eastAsia="Calibri"/>
          <w:sz w:val="18"/>
          <w:szCs w:val="18"/>
          <w:lang w:val="en-US" w:eastAsia="en-US"/>
        </w:rPr>
        <w:t>DMH as diseased group, plus (</w:t>
      </w:r>
      <w:r w:rsidRPr="00EA55B2">
        <w:rPr>
          <w:rFonts w:eastAsia="Calibri"/>
          <w:i/>
          <w:iCs/>
          <w:sz w:val="18"/>
          <w:szCs w:val="18"/>
          <w:lang w:val="en-US" w:eastAsia="en-US"/>
        </w:rPr>
        <w:t>VRE</w:t>
      </w:r>
      <w:r w:rsidRPr="00EA55B2">
        <w:rPr>
          <w:rFonts w:eastAsia="Calibri"/>
          <w:sz w:val="18"/>
          <w:szCs w:val="18"/>
          <w:lang w:val="en-US" w:eastAsia="en-US"/>
        </w:rPr>
        <w:t>, 300 mg/kg, orally, once daily</w:t>
      </w:r>
    </w:p>
    <w:p w14:paraId="03EFD89C" w14:textId="77777777" w:rsidR="00CA61A8" w:rsidRDefault="00CA61A8" w:rsidP="00CA61A8">
      <w:pPr>
        <w:pStyle w:val="Els-body-text"/>
        <w:ind w:firstLine="0"/>
      </w:pPr>
    </w:p>
    <w:p w14:paraId="70668C6F" w14:textId="10EAD4E6" w:rsidR="00CA61A8" w:rsidRDefault="00CA61A8" w:rsidP="000324CC">
      <w:pPr>
        <w:pStyle w:val="Els-body-text"/>
        <w:ind w:firstLine="0"/>
      </w:pPr>
    </w:p>
    <w:p w14:paraId="434144B1" w14:textId="77777777" w:rsidR="00CA61A8" w:rsidRDefault="00CA61A8" w:rsidP="00CA61A8">
      <w:pPr>
        <w:pStyle w:val="Els-body-text"/>
        <w:ind w:firstLine="0"/>
      </w:pPr>
    </w:p>
    <w:p w14:paraId="0B36DCCA" w14:textId="5A83FEBD" w:rsidR="00CA61A8" w:rsidRPr="009C4A5F" w:rsidRDefault="000324CC" w:rsidP="009C4A5F">
      <w:pPr>
        <w:pStyle w:val="NormalWeb"/>
        <w:jc w:val="center"/>
        <w:rPr>
          <w:rtl/>
          <w:lang w:val="en-US" w:eastAsia="en-US"/>
        </w:rPr>
      </w:pPr>
      <w:r>
        <w:object w:dxaOrig="4411" w:dyaOrig="4603" w14:anchorId="65E1D9B8">
          <v:shape id="_x0000_i1032" type="#_x0000_t75" style="width:203.25pt;height:212.25pt" o:ole="">
            <v:imagedata r:id="rId33" o:title=""/>
          </v:shape>
          <o:OLEObject Type="Embed" ProgID="Prism8.Document" ShapeID="_x0000_i1032" DrawAspect="Content" ObjectID="_1833171368" r:id="rId34"/>
        </w:object>
      </w:r>
    </w:p>
    <w:p w14:paraId="7543EC3C" w14:textId="77777777" w:rsidR="000324CC" w:rsidRDefault="000324CC" w:rsidP="000324CC">
      <w:pPr>
        <w:pStyle w:val="NormalWeb"/>
        <w:jc w:val="center"/>
        <w:rPr>
          <w:lang w:val="en-US" w:eastAsia="en-US"/>
        </w:rPr>
      </w:pPr>
      <w:r>
        <w:rPr>
          <w:noProof/>
        </w:rPr>
        <w:drawing>
          <wp:inline distT="0" distB="0" distL="0" distR="0" wp14:anchorId="49CAA40C" wp14:editId="7E0429B6">
            <wp:extent cx="2590800" cy="3209925"/>
            <wp:effectExtent l="0" t="0" r="0" b="9525"/>
            <wp:docPr id="112233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0800" cy="3209925"/>
                    </a:xfrm>
                    <a:prstGeom prst="rect">
                      <a:avLst/>
                    </a:prstGeom>
                    <a:noFill/>
                    <a:ln>
                      <a:noFill/>
                    </a:ln>
                  </pic:spPr>
                </pic:pic>
              </a:graphicData>
            </a:graphic>
          </wp:inline>
        </w:drawing>
      </w:r>
    </w:p>
    <w:p w14:paraId="1AFE8A71" w14:textId="77777777" w:rsidR="002501DF" w:rsidRDefault="002501DF" w:rsidP="00AE3F8C">
      <w:pPr>
        <w:pStyle w:val="Els-body-text"/>
      </w:pPr>
    </w:p>
    <w:p w14:paraId="74ACB1E7" w14:textId="77777777" w:rsidR="00CA61A8" w:rsidRDefault="00CA61A8" w:rsidP="00AE3F8C">
      <w:pPr>
        <w:pStyle w:val="Els-body-text"/>
      </w:pPr>
    </w:p>
    <w:p w14:paraId="33B4716D" w14:textId="77777777" w:rsidR="00CA61A8" w:rsidRDefault="00CA61A8" w:rsidP="00AE3F8C">
      <w:pPr>
        <w:pStyle w:val="Els-body-text"/>
      </w:pPr>
    </w:p>
    <w:p w14:paraId="68780A1C" w14:textId="77777777" w:rsidR="00CA61A8" w:rsidRDefault="00CA61A8" w:rsidP="00AE3F8C">
      <w:pPr>
        <w:pStyle w:val="Els-body-text"/>
      </w:pPr>
    </w:p>
    <w:p w14:paraId="1440D3E9" w14:textId="77777777" w:rsidR="00CA61A8" w:rsidRDefault="00CA61A8" w:rsidP="00AE3F8C">
      <w:pPr>
        <w:pStyle w:val="Els-body-text"/>
      </w:pPr>
    </w:p>
    <w:p w14:paraId="3E309468" w14:textId="77777777" w:rsidR="00CA61A8" w:rsidRDefault="00CA61A8" w:rsidP="00AE3F8C">
      <w:pPr>
        <w:pStyle w:val="Els-body-text"/>
      </w:pPr>
    </w:p>
    <w:p w14:paraId="49051BD3" w14:textId="77777777" w:rsidR="00CA61A8" w:rsidRDefault="00CA61A8" w:rsidP="00AE3F8C">
      <w:pPr>
        <w:pStyle w:val="Els-body-text"/>
      </w:pPr>
    </w:p>
    <w:p w14:paraId="4F46D986" w14:textId="77777777" w:rsidR="006F7C29" w:rsidRDefault="006F7C29" w:rsidP="000324CC">
      <w:pPr>
        <w:pStyle w:val="NormalWeb"/>
        <w:jc w:val="center"/>
        <w:rPr>
          <w:lang w:val="en-US" w:eastAsia="en-US"/>
        </w:rPr>
      </w:pPr>
    </w:p>
    <w:p w14:paraId="4D2C77E5" w14:textId="77777777" w:rsidR="006F7C29" w:rsidRDefault="006F7C29" w:rsidP="000324CC">
      <w:pPr>
        <w:pStyle w:val="NormalWeb"/>
        <w:jc w:val="center"/>
        <w:rPr>
          <w:lang w:val="en-US" w:eastAsia="en-US"/>
        </w:rPr>
      </w:pPr>
    </w:p>
    <w:p w14:paraId="2EDBA3A7" w14:textId="77777777" w:rsidR="006F7C29" w:rsidRDefault="006F7C29" w:rsidP="000324CC">
      <w:pPr>
        <w:pStyle w:val="NormalWeb"/>
        <w:jc w:val="center"/>
        <w:rPr>
          <w:lang w:val="en-US" w:eastAsia="en-US"/>
        </w:rPr>
      </w:pPr>
    </w:p>
    <w:p w14:paraId="21241EFE" w14:textId="77777777" w:rsidR="006F7C29" w:rsidRDefault="006F7C29" w:rsidP="000324CC">
      <w:pPr>
        <w:pStyle w:val="NormalWeb"/>
        <w:jc w:val="center"/>
        <w:rPr>
          <w:noProof/>
        </w:rPr>
      </w:pPr>
    </w:p>
    <w:p w14:paraId="1B5DCAC3" w14:textId="77777777" w:rsidR="006F7C29" w:rsidRDefault="006F7C29" w:rsidP="000324CC">
      <w:pPr>
        <w:pStyle w:val="NormalWeb"/>
        <w:jc w:val="center"/>
        <w:rPr>
          <w:noProof/>
        </w:rPr>
      </w:pPr>
    </w:p>
    <w:p w14:paraId="3C456C83" w14:textId="01C5C687" w:rsidR="000324CC" w:rsidRDefault="000324CC" w:rsidP="000324CC">
      <w:pPr>
        <w:pStyle w:val="NormalWeb"/>
        <w:jc w:val="center"/>
        <w:rPr>
          <w:lang w:val="en-US" w:eastAsia="en-US"/>
        </w:rPr>
      </w:pPr>
      <w:r>
        <w:rPr>
          <w:noProof/>
        </w:rPr>
        <w:drawing>
          <wp:inline distT="0" distB="0" distL="0" distR="0" wp14:anchorId="4E60B601" wp14:editId="027272D2">
            <wp:extent cx="2494280" cy="2590800"/>
            <wp:effectExtent l="0" t="0" r="1270" b="0"/>
            <wp:docPr id="19071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07823" cy="2604867"/>
                    </a:xfrm>
                    <a:prstGeom prst="rect">
                      <a:avLst/>
                    </a:prstGeom>
                    <a:noFill/>
                    <a:ln>
                      <a:noFill/>
                    </a:ln>
                  </pic:spPr>
                </pic:pic>
              </a:graphicData>
            </a:graphic>
          </wp:inline>
        </w:drawing>
      </w:r>
    </w:p>
    <w:p w14:paraId="47B83486" w14:textId="7FBA3C17" w:rsidR="006F7C29" w:rsidRPr="006F7C29" w:rsidRDefault="006F7C29" w:rsidP="006F7C29">
      <w:pPr>
        <w:spacing w:after="160" w:line="276" w:lineRule="auto"/>
        <w:ind w:left="-810"/>
        <w:jc w:val="center"/>
        <w:rPr>
          <w:rFonts w:eastAsia="Calibri"/>
          <w:b/>
          <w:bCs/>
          <w:shd w:val="clear" w:color="auto" w:fill="FFFFFF"/>
          <w:lang w:val="en-US" w:eastAsia="en-US"/>
        </w:rPr>
      </w:pPr>
      <w:r w:rsidRPr="006F7C29">
        <w:rPr>
          <w:rFonts w:eastAsia="Calibri"/>
          <w:b/>
          <w:bCs/>
          <w:shd w:val="clear" w:color="auto" w:fill="FFFFFF"/>
          <w:lang w:val="en-US" w:eastAsia="en-US"/>
        </w:rPr>
        <w:t>Figure (</w:t>
      </w:r>
      <w:r>
        <w:rPr>
          <w:rFonts w:eastAsia="Calibri"/>
          <w:b/>
          <w:bCs/>
          <w:shd w:val="clear" w:color="auto" w:fill="FFFFFF"/>
          <w:lang w:val="en-US" w:eastAsia="en-US"/>
        </w:rPr>
        <w:t>6</w:t>
      </w:r>
      <w:r w:rsidRPr="006F7C29">
        <w:rPr>
          <w:rFonts w:eastAsia="Calibri"/>
          <w:b/>
          <w:bCs/>
          <w:shd w:val="clear" w:color="auto" w:fill="FFFFFF"/>
          <w:lang w:val="en-US" w:eastAsia="en-US"/>
        </w:rPr>
        <w:t xml:space="preserve">): Effect of </w:t>
      </w:r>
      <w:r w:rsidRPr="006F7C29">
        <w:rPr>
          <w:rFonts w:eastAsia="Calibri"/>
          <w:b/>
          <w:bCs/>
          <w:i/>
          <w:iCs/>
          <w:shd w:val="clear" w:color="auto" w:fill="FFFFFF"/>
          <w:lang w:val="en-US" w:eastAsia="en-US"/>
        </w:rPr>
        <w:t xml:space="preserve">VRE </w:t>
      </w:r>
      <w:r w:rsidRPr="006F7C29">
        <w:rPr>
          <w:rFonts w:eastAsia="Calibri"/>
          <w:b/>
          <w:bCs/>
          <w:shd w:val="clear" w:color="auto" w:fill="FFFFFF"/>
          <w:lang w:val="en-US" w:eastAsia="en-US"/>
        </w:rPr>
        <w:t>on</w:t>
      </w:r>
      <w:r w:rsidRPr="006F7C29">
        <w:rPr>
          <w:rFonts w:eastAsia="Calibri"/>
          <w:b/>
          <w:bCs/>
          <w:i/>
          <w:iCs/>
          <w:shd w:val="clear" w:color="auto" w:fill="FFFFFF"/>
          <w:lang w:val="en-US" w:eastAsia="en-US"/>
        </w:rPr>
        <w:t xml:space="preserve"> </w:t>
      </w:r>
      <w:r w:rsidRPr="006F7C29">
        <w:rPr>
          <w:b/>
          <w:bCs/>
          <w:kern w:val="36"/>
          <w:lang w:val="en-US" w:eastAsia="en-US"/>
          <w14:ligatures w14:val="standardContextual"/>
        </w:rPr>
        <w:t xml:space="preserve">platelet count (106 </w:t>
      </w:r>
      <w:r w:rsidRPr="006F7C29">
        <w:rPr>
          <w:b/>
          <w:bCs/>
          <w:kern w:val="36"/>
          <w:rtl/>
          <w:lang w:val="en-US" w:eastAsia="en-US" w:bidi="ar-EG"/>
          <w14:ligatures w14:val="standardContextual"/>
        </w:rPr>
        <w:t>/</w:t>
      </w:r>
      <w:r w:rsidRPr="006F7C29">
        <w:rPr>
          <w:b/>
          <w:bCs/>
          <w:kern w:val="36"/>
          <w:lang w:val="en-US" w:eastAsia="en-US" w:bidi="ar-EG"/>
          <w14:ligatures w14:val="standardContextual"/>
        </w:rPr>
        <w:t>cmm), PCT (%), and MPV (fL)</w:t>
      </w:r>
      <w:r w:rsidRPr="006F7C29">
        <w:rPr>
          <w:rFonts w:eastAsia="Calibri"/>
          <w:b/>
          <w:bCs/>
          <w:shd w:val="clear" w:color="auto" w:fill="FFFFFF"/>
          <w:lang w:val="en-US" w:eastAsia="en-US"/>
        </w:rPr>
        <w:t>.</w:t>
      </w:r>
    </w:p>
    <w:p w14:paraId="5D2F6956" w14:textId="77777777" w:rsidR="00CA61A8" w:rsidRDefault="00CA61A8" w:rsidP="000324CC">
      <w:pPr>
        <w:pStyle w:val="Els-body-text"/>
        <w:ind w:firstLine="0"/>
        <w:jc w:val="center"/>
      </w:pPr>
    </w:p>
    <w:p w14:paraId="0B6ED215" w14:textId="77777777" w:rsidR="000324CC" w:rsidRPr="000324CC" w:rsidRDefault="000324CC" w:rsidP="000324CC">
      <w:pPr>
        <w:spacing w:after="160"/>
        <w:ind w:left="-810" w:firstLine="810"/>
        <w:jc w:val="both"/>
        <w:rPr>
          <w:rFonts w:eastAsia="Calibri"/>
          <w:sz w:val="18"/>
          <w:szCs w:val="18"/>
          <w:lang w:val="en-US" w:eastAsia="en-US"/>
        </w:rPr>
      </w:pPr>
      <w:r w:rsidRPr="000324CC">
        <w:rPr>
          <w:rFonts w:eastAsia="Calibri"/>
          <w:sz w:val="18"/>
          <w:szCs w:val="18"/>
          <w:shd w:val="clear" w:color="auto" w:fill="FFFFFF"/>
          <w:lang w:val="en-US" w:eastAsia="en-US"/>
        </w:rPr>
        <w:t xml:space="preserve">Bar graph demonstrating the effects </w:t>
      </w:r>
      <w:r w:rsidRPr="000324CC">
        <w:rPr>
          <w:rFonts w:eastAsia="Calibri"/>
          <w:i/>
          <w:iCs/>
          <w:sz w:val="18"/>
          <w:szCs w:val="18"/>
          <w:shd w:val="clear" w:color="auto" w:fill="FFFFFF"/>
          <w:lang w:val="en-US" w:eastAsia="en-US"/>
        </w:rPr>
        <w:t xml:space="preserve">VRE </w:t>
      </w:r>
      <w:r w:rsidRPr="000324CC">
        <w:rPr>
          <w:rFonts w:eastAsia="Calibri"/>
          <w:sz w:val="18"/>
          <w:szCs w:val="18"/>
          <w:shd w:val="clear" w:color="auto" w:fill="FFFFFF"/>
          <w:lang w:val="en-US" w:eastAsia="en-US"/>
        </w:rPr>
        <w:t xml:space="preserve">and 5-FU on leukocyte count in normal rats (negative control) and those received </w:t>
      </w:r>
      <w:r w:rsidRPr="000324CC">
        <w:rPr>
          <w:rFonts w:eastAsia="Calibri"/>
          <w:sz w:val="18"/>
          <w:szCs w:val="18"/>
          <w:lang w:val="en-US" w:eastAsia="en-US"/>
        </w:rPr>
        <w:t>(DMH 40 mg/kg) after 6 weeks of different treatments. Values are presented as means ± SE of 4 rats/group.</w:t>
      </w:r>
    </w:p>
    <w:p w14:paraId="357E1B50" w14:textId="77777777" w:rsidR="000324CC" w:rsidRPr="000324CC" w:rsidRDefault="000324CC" w:rsidP="000324CC">
      <w:pPr>
        <w:spacing w:after="160"/>
        <w:ind w:left="-810"/>
        <w:jc w:val="both"/>
        <w:rPr>
          <w:rFonts w:eastAsia="Calibri"/>
          <w:sz w:val="18"/>
          <w:szCs w:val="18"/>
          <w:shd w:val="clear" w:color="auto" w:fill="FFFFFF"/>
          <w:lang w:val="en-US" w:eastAsia="en-US"/>
        </w:rPr>
      </w:pPr>
      <w:r w:rsidRPr="000324CC">
        <w:rPr>
          <w:rFonts w:eastAsia="Calibri"/>
          <w:sz w:val="18"/>
          <w:szCs w:val="18"/>
          <w:lang w:val="en-US" w:eastAsia="en-US"/>
        </w:rPr>
        <w:t xml:space="preserve">Bars with different letters are significantly different </w:t>
      </w:r>
      <w:r w:rsidRPr="000324CC">
        <w:rPr>
          <w:kern w:val="36"/>
          <w:sz w:val="18"/>
          <w:szCs w:val="18"/>
          <w:lang w:val="en-US" w:eastAsia="en-US"/>
        </w:rPr>
        <w:t>(</w:t>
      </w:r>
      <w:r w:rsidRPr="000324CC">
        <w:rPr>
          <w:rFonts w:eastAsia="Calibri"/>
          <w:sz w:val="18"/>
          <w:szCs w:val="18"/>
          <w:lang w:val="en-US" w:eastAsia="en-US"/>
        </w:rPr>
        <w:t xml:space="preserve">P value </w:t>
      </w:r>
      <w:r w:rsidRPr="000324CC">
        <w:rPr>
          <w:rFonts w:eastAsia="Calibri"/>
          <w:kern w:val="2"/>
          <w:sz w:val="18"/>
          <w:szCs w:val="18"/>
          <w:lang w:val="en-US" w:eastAsia="en-US"/>
          <w14:ligatures w14:val="standardContextual"/>
        </w:rPr>
        <w:t>≤ 0.05</w:t>
      </w:r>
      <w:r w:rsidRPr="000324CC">
        <w:rPr>
          <w:rFonts w:eastAsia="Calibri"/>
          <w:sz w:val="18"/>
          <w:szCs w:val="18"/>
          <w:lang w:val="en-US" w:eastAsia="en-US"/>
        </w:rPr>
        <w:t xml:space="preserve">, ANOVA followed by Tukey’s post hoc test) Control negative group: (isosaline orally, once daily); diseased group (DMH 40 mg/kg in 1mM EDTA, S.C, twice weekly), </w:t>
      </w:r>
      <w:r w:rsidRPr="000324CC">
        <w:rPr>
          <w:rFonts w:eastAsia="Calibri"/>
          <w:i/>
          <w:iCs/>
          <w:sz w:val="18"/>
          <w:szCs w:val="18"/>
          <w:lang w:val="en-US" w:eastAsia="en-US"/>
        </w:rPr>
        <w:t>ad libitum</w:t>
      </w:r>
      <w:r w:rsidRPr="000324CC">
        <w:rPr>
          <w:rFonts w:eastAsia="Calibri"/>
          <w:sz w:val="18"/>
          <w:szCs w:val="18"/>
          <w:lang w:val="en-US" w:eastAsia="en-US"/>
        </w:rPr>
        <w:t xml:space="preserve">; standard group DMH as diseased group, plus 5-flurouracil (5- FU, 50 mg/kg, ip once weekly); treated LD of </w:t>
      </w:r>
      <w:r w:rsidRPr="000324CC">
        <w:rPr>
          <w:rFonts w:eastAsia="Calibri"/>
          <w:i/>
          <w:iCs/>
          <w:sz w:val="18"/>
          <w:szCs w:val="18"/>
          <w:lang w:val="en-US" w:eastAsia="en-US"/>
        </w:rPr>
        <w:t>VRE</w:t>
      </w:r>
      <w:r w:rsidRPr="000324CC">
        <w:rPr>
          <w:rFonts w:eastAsia="Calibri"/>
          <w:sz w:val="18"/>
          <w:szCs w:val="18"/>
          <w:lang w:val="en-US" w:eastAsia="en-US"/>
        </w:rPr>
        <w:t>:</w:t>
      </w:r>
      <w:r w:rsidRPr="000324CC">
        <w:rPr>
          <w:rFonts w:eastAsia="Calibri"/>
          <w:i/>
          <w:iCs/>
          <w:sz w:val="18"/>
          <w:szCs w:val="18"/>
          <w:lang w:val="en-US" w:eastAsia="en-US"/>
        </w:rPr>
        <w:t xml:space="preserve"> </w:t>
      </w:r>
      <w:r w:rsidRPr="000324CC">
        <w:rPr>
          <w:rFonts w:eastAsia="Calibri"/>
          <w:sz w:val="18"/>
          <w:szCs w:val="18"/>
          <w:lang w:val="en-US" w:eastAsia="en-US"/>
        </w:rPr>
        <w:t>DMH as diseased group, plus (</w:t>
      </w:r>
      <w:r w:rsidRPr="000324CC">
        <w:rPr>
          <w:rFonts w:eastAsia="Calibri"/>
          <w:i/>
          <w:iCs/>
          <w:sz w:val="18"/>
          <w:szCs w:val="18"/>
          <w:lang w:val="en-US" w:eastAsia="en-US"/>
        </w:rPr>
        <w:t>VRE</w:t>
      </w:r>
      <w:r w:rsidRPr="000324CC">
        <w:rPr>
          <w:rFonts w:eastAsia="Calibri"/>
          <w:sz w:val="18"/>
          <w:szCs w:val="18"/>
          <w:lang w:val="en-US" w:eastAsia="en-US"/>
        </w:rPr>
        <w:t xml:space="preserve">, 150 mg/kg, orally, once daily); treated HD of </w:t>
      </w:r>
      <w:r w:rsidRPr="000324CC">
        <w:rPr>
          <w:rFonts w:eastAsia="Calibri"/>
          <w:i/>
          <w:iCs/>
          <w:sz w:val="18"/>
          <w:szCs w:val="18"/>
          <w:lang w:val="en-US" w:eastAsia="en-US"/>
        </w:rPr>
        <w:t>VRE</w:t>
      </w:r>
      <w:r w:rsidRPr="000324CC">
        <w:rPr>
          <w:rFonts w:eastAsia="Calibri"/>
          <w:sz w:val="18"/>
          <w:szCs w:val="18"/>
          <w:lang w:val="en-US" w:eastAsia="en-US"/>
        </w:rPr>
        <w:t>:</w:t>
      </w:r>
      <w:r w:rsidRPr="000324CC">
        <w:rPr>
          <w:rFonts w:eastAsia="Calibri"/>
          <w:i/>
          <w:iCs/>
          <w:sz w:val="18"/>
          <w:szCs w:val="18"/>
          <w:lang w:val="en-US" w:eastAsia="en-US"/>
        </w:rPr>
        <w:t xml:space="preserve"> </w:t>
      </w:r>
      <w:r w:rsidRPr="000324CC">
        <w:rPr>
          <w:rFonts w:eastAsia="Calibri"/>
          <w:sz w:val="18"/>
          <w:szCs w:val="18"/>
          <w:lang w:val="en-US" w:eastAsia="en-US"/>
        </w:rPr>
        <w:t>DMH as diseased group, plus (</w:t>
      </w:r>
      <w:r w:rsidRPr="000324CC">
        <w:rPr>
          <w:rFonts w:eastAsia="Calibri"/>
          <w:i/>
          <w:iCs/>
          <w:sz w:val="18"/>
          <w:szCs w:val="18"/>
          <w:lang w:val="en-US" w:eastAsia="en-US"/>
        </w:rPr>
        <w:t>VRE</w:t>
      </w:r>
      <w:r w:rsidRPr="000324CC">
        <w:rPr>
          <w:rFonts w:eastAsia="Calibri"/>
          <w:sz w:val="18"/>
          <w:szCs w:val="18"/>
          <w:lang w:val="en-US" w:eastAsia="en-US"/>
        </w:rPr>
        <w:t>, 300 mg/kg, orally, once daily).</w:t>
      </w:r>
    </w:p>
    <w:p w14:paraId="41EAA1EE" w14:textId="77777777" w:rsidR="000324CC" w:rsidRPr="000324CC" w:rsidRDefault="000324CC" w:rsidP="000324CC">
      <w:pPr>
        <w:spacing w:after="160" w:line="480" w:lineRule="auto"/>
        <w:ind w:hanging="709"/>
        <w:jc w:val="both"/>
        <w:rPr>
          <w:rFonts w:eastAsia="Calibri"/>
          <w:b/>
          <w:bCs/>
          <w:kern w:val="2"/>
          <w:sz w:val="24"/>
          <w:szCs w:val="24"/>
          <w:lang w:val="en-US" w:eastAsia="en-US"/>
          <w14:ligatures w14:val="standardContextual"/>
        </w:rPr>
      </w:pPr>
    </w:p>
    <w:p w14:paraId="61530771" w14:textId="77777777" w:rsidR="000324CC" w:rsidRPr="000324CC" w:rsidRDefault="000324CC" w:rsidP="000324CC">
      <w:pPr>
        <w:spacing w:after="160" w:line="480" w:lineRule="auto"/>
        <w:ind w:hanging="709"/>
        <w:jc w:val="both"/>
        <w:rPr>
          <w:rFonts w:eastAsia="Calibri"/>
          <w:b/>
          <w:bCs/>
          <w:kern w:val="2"/>
          <w:sz w:val="24"/>
          <w:szCs w:val="24"/>
          <w:lang w:val="en-US" w:eastAsia="en-US"/>
          <w14:ligatures w14:val="standardContextual"/>
        </w:rPr>
      </w:pPr>
    </w:p>
    <w:p w14:paraId="49516E0A" w14:textId="77777777" w:rsidR="000324CC" w:rsidRPr="000324CC" w:rsidRDefault="000324CC" w:rsidP="000324CC">
      <w:pPr>
        <w:spacing w:after="160" w:line="480" w:lineRule="auto"/>
        <w:ind w:hanging="709"/>
        <w:jc w:val="both"/>
        <w:rPr>
          <w:rFonts w:eastAsia="Calibri"/>
          <w:b/>
          <w:bCs/>
          <w:kern w:val="2"/>
          <w:sz w:val="24"/>
          <w:szCs w:val="24"/>
          <w:lang w:val="en-US" w:eastAsia="en-US"/>
          <w14:ligatures w14:val="standardContextual"/>
        </w:rPr>
      </w:pPr>
    </w:p>
    <w:p w14:paraId="495B1899" w14:textId="77777777" w:rsidR="00CA61A8" w:rsidRDefault="00CA61A8" w:rsidP="00AE3F8C">
      <w:pPr>
        <w:pStyle w:val="Els-body-text"/>
      </w:pPr>
    </w:p>
    <w:p w14:paraId="0A9BC49D" w14:textId="77777777" w:rsidR="00CA61A8" w:rsidRDefault="00CA61A8" w:rsidP="00AE3F8C">
      <w:pPr>
        <w:pStyle w:val="Els-body-text"/>
      </w:pPr>
    </w:p>
    <w:p w14:paraId="67DAE9C7" w14:textId="77777777" w:rsidR="00CA61A8" w:rsidRDefault="00CA61A8" w:rsidP="00AE3F8C">
      <w:pPr>
        <w:pStyle w:val="Els-body-text"/>
      </w:pPr>
    </w:p>
    <w:p w14:paraId="3C72ECA6" w14:textId="77777777" w:rsidR="009C4A5F" w:rsidRDefault="009C4A5F" w:rsidP="009C4A5F">
      <w:pPr>
        <w:pStyle w:val="Els-body-text"/>
        <w:ind w:firstLine="0"/>
        <w:sectPr w:rsidR="009C4A5F" w:rsidSect="003C447B">
          <w:type w:val="continuous"/>
          <w:pgSz w:w="11906" w:h="16838" w:code="9"/>
          <w:pgMar w:top="1418" w:right="1418" w:bottom="1418" w:left="1418" w:header="964" w:footer="964" w:gutter="0"/>
          <w:cols w:space="852"/>
          <w:titlePg/>
        </w:sectPr>
      </w:pPr>
    </w:p>
    <w:p w14:paraId="74481F9A" w14:textId="77777777" w:rsidR="002501DF" w:rsidRDefault="002501DF" w:rsidP="009C4A5F">
      <w:pPr>
        <w:pStyle w:val="Els-body-text"/>
        <w:ind w:firstLine="0"/>
        <w:rPr>
          <w:rtl/>
        </w:rPr>
      </w:pPr>
    </w:p>
    <w:p w14:paraId="5D424DD3" w14:textId="77777777" w:rsidR="002501DF" w:rsidRPr="00AE3F8C" w:rsidRDefault="002501DF" w:rsidP="00AE3F8C">
      <w:pPr>
        <w:pStyle w:val="Els-body-text"/>
      </w:pPr>
    </w:p>
    <w:p w14:paraId="0D28035D" w14:textId="5315ABF3" w:rsidR="005B695D" w:rsidRPr="005B695D" w:rsidRDefault="005B695D" w:rsidP="003B735A">
      <w:pPr>
        <w:pStyle w:val="Els-body-text"/>
        <w:spacing w:after="120"/>
        <w:ind w:firstLine="0"/>
        <w:rPr>
          <w:b/>
          <w:bCs/>
          <w:lang w:eastAsia="en-US"/>
        </w:rPr>
      </w:pPr>
      <w:r w:rsidRPr="005B695D">
        <w:rPr>
          <w:b/>
          <w:bCs/>
          <w:color w:val="FF0000"/>
          <w:u w:val="single"/>
        </w:rPr>
        <w:t>References</w:t>
      </w:r>
    </w:p>
    <w:p w14:paraId="000CE097" w14:textId="3D3EC551" w:rsidR="00B62041" w:rsidRPr="00B62041" w:rsidRDefault="00B62041" w:rsidP="00ED624D">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ED624D" w:rsidRPr="00ED624D">
        <w:rPr>
          <w:rFonts w:eastAsia="Calibri"/>
          <w:kern w:val="2"/>
          <w:lang w:val="en-US" w:eastAsia="en-US"/>
          <w14:ligatures w14:val="standardContextual"/>
        </w:rPr>
        <w:t xml:space="preserve"> Sedlak,</w:t>
      </w:r>
      <w:r w:rsidR="00CF1086" w:rsidRPr="00CF1086">
        <w:rPr>
          <w:rFonts w:eastAsia="Calibri"/>
          <w:kern w:val="2"/>
          <w:lang w:val="en-US" w:eastAsia="en-US"/>
          <w14:ligatures w14:val="standardContextual"/>
        </w:rPr>
        <w:t xml:space="preserve"> </w:t>
      </w:r>
      <w:r w:rsidR="00CF1086" w:rsidRPr="00ED624D">
        <w:rPr>
          <w:rFonts w:eastAsia="Calibri"/>
          <w:kern w:val="2"/>
          <w:lang w:val="en-US" w:eastAsia="en-US"/>
          <w14:ligatures w14:val="standardContextual"/>
        </w:rPr>
        <w:t>J. C.</w:t>
      </w:r>
      <w:r w:rsidR="00ED624D" w:rsidRPr="00ED624D">
        <w:rPr>
          <w:rFonts w:eastAsia="Calibri"/>
          <w:kern w:val="2"/>
          <w:lang w:val="en-US" w:eastAsia="en-US"/>
          <w14:ligatures w14:val="standardContextual"/>
        </w:rPr>
        <w:t xml:space="preserve"> Ö. H. Yilmaz, and J. Roper, "Metabolism and colorectal cancer," </w:t>
      </w:r>
      <w:r w:rsidR="00ED624D" w:rsidRPr="00ED624D">
        <w:rPr>
          <w:rFonts w:eastAsia="Calibri"/>
          <w:i/>
          <w:iCs/>
          <w:kern w:val="2"/>
          <w:lang w:val="en-US" w:eastAsia="en-US"/>
          <w14:ligatures w14:val="standardContextual"/>
        </w:rPr>
        <w:t>Annual Review of Pathology: Mechanisms of Disease</w:t>
      </w:r>
      <w:r w:rsidR="00ED624D" w:rsidRPr="00ED624D">
        <w:rPr>
          <w:rFonts w:eastAsia="Calibri"/>
          <w:kern w:val="2"/>
          <w:lang w:val="en-US" w:eastAsia="en-US"/>
          <w14:ligatures w14:val="standardContextual"/>
        </w:rPr>
        <w:t>, vol. 18, pp. 467-492, 2023.</w:t>
      </w:r>
      <w:r w:rsidRPr="00B62041">
        <w:rPr>
          <w:rFonts w:eastAsia="Calibri"/>
          <w:kern w:val="2"/>
          <w:lang w:val="en-US" w:eastAsia="en-US"/>
          <w14:ligatures w14:val="standardContextual"/>
        </w:rPr>
        <w:tab/>
      </w:r>
    </w:p>
    <w:p w14:paraId="0910B6F5" w14:textId="76B90E72" w:rsidR="00B62041" w:rsidRPr="00B62041" w:rsidRDefault="00B62041" w:rsidP="00ED624D">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[2]</w:t>
      </w:r>
      <w:r w:rsidR="00ED624D" w:rsidRPr="00ED624D">
        <w:rPr>
          <w:rFonts w:eastAsia="Calibri"/>
          <w:kern w:val="2"/>
          <w:lang w:val="en-US" w:eastAsia="en-US"/>
          <w14:ligatures w14:val="standardContextual"/>
        </w:rPr>
        <w:t xml:space="preserve"> Shinji,</w:t>
      </w:r>
      <w:r w:rsidR="00CF1086" w:rsidRPr="00CF1086">
        <w:rPr>
          <w:rFonts w:eastAsia="Calibri"/>
          <w:kern w:val="2"/>
          <w:lang w:val="en-US" w:eastAsia="en-US"/>
          <w14:ligatures w14:val="standardContextual"/>
        </w:rPr>
        <w:t xml:space="preserve"> </w:t>
      </w:r>
      <w:r w:rsidR="00CF1086" w:rsidRPr="00ED624D">
        <w:rPr>
          <w:rFonts w:eastAsia="Calibri"/>
          <w:kern w:val="2"/>
          <w:lang w:val="en-US" w:eastAsia="en-US"/>
          <w14:ligatures w14:val="standardContextual"/>
        </w:rPr>
        <w:t>S.</w:t>
      </w:r>
      <w:r w:rsidR="00CF1086">
        <w:rPr>
          <w:rFonts w:eastAsia="Calibri"/>
          <w:kern w:val="2"/>
          <w:lang w:val="en-US" w:eastAsia="en-US"/>
          <w14:ligatures w14:val="standardContextual"/>
        </w:rPr>
        <w:t xml:space="preserve"> </w:t>
      </w:r>
      <w:r w:rsidR="00ED624D" w:rsidRPr="00ED624D">
        <w:rPr>
          <w:rFonts w:eastAsia="Calibri"/>
          <w:kern w:val="2"/>
          <w:lang w:val="en-US" w:eastAsia="en-US"/>
          <w14:ligatures w14:val="standardContextual"/>
        </w:rPr>
        <w:t xml:space="preserve"> T. Yamada, A. Matsuda, H. Sonoda, R. Ohta, T. Iwai, et al., "Recent advances in the treatment of colorectal cancer: a review," </w:t>
      </w:r>
      <w:r w:rsidR="00ED624D" w:rsidRPr="00ED624D">
        <w:rPr>
          <w:rFonts w:eastAsia="Calibri"/>
          <w:i/>
          <w:iCs/>
          <w:kern w:val="2"/>
          <w:lang w:val="en-US" w:eastAsia="en-US"/>
          <w14:ligatures w14:val="standardContextual"/>
        </w:rPr>
        <w:t>Journal of Nippon Medical School</w:t>
      </w:r>
      <w:r w:rsidR="00ED624D" w:rsidRPr="00ED624D">
        <w:rPr>
          <w:rFonts w:eastAsia="Calibri"/>
          <w:kern w:val="2"/>
          <w:lang w:val="en-US" w:eastAsia="en-US"/>
          <w14:ligatures w14:val="standardContextual"/>
        </w:rPr>
        <w:t>, vol. 89, pp. 246-254, 2022.</w:t>
      </w:r>
      <w:r w:rsidRPr="00B62041">
        <w:rPr>
          <w:rFonts w:eastAsia="Calibri"/>
          <w:kern w:val="2"/>
          <w:lang w:val="en-US" w:eastAsia="en-US"/>
          <w14:ligatures w14:val="standardContextual"/>
        </w:rPr>
        <w:tab/>
      </w:r>
    </w:p>
    <w:p w14:paraId="61478E06" w14:textId="7F984D21"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[3]</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Fernandez-Muñoz,</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K. V.</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C. Á. Sánchez-Barrera, M. Meraz-Ríos, J. L. Reyes, E. A. Pérez-Yépez, M. T. Ortiz-Melo, et al., "</w:t>
      </w:r>
      <w:r w:rsidRPr="0017008F">
        <w:rPr>
          <w:rFonts w:eastAsia="Calibri"/>
          <w:kern w:val="2"/>
          <w:lang w:val="en-US" w:eastAsia="en-US"/>
          <w14:ligatures w14:val="standardContextual"/>
        </w:rPr>
        <w:t>Natural alternatives in the treatment of colorectal Cancer: a mechanisms perspective</w:t>
      </w:r>
      <w:r w:rsidRPr="00B62041">
        <w:rPr>
          <w:rFonts w:eastAsia="Calibri"/>
          <w:kern w:val="2"/>
          <w:lang w:val="en-US" w:eastAsia="en-US"/>
          <w14:ligatures w14:val="standardContextual"/>
        </w:rPr>
        <w:t xml:space="preserve">," </w:t>
      </w:r>
      <w:r w:rsidRPr="0017008F">
        <w:rPr>
          <w:rFonts w:eastAsia="Calibri"/>
          <w:i/>
          <w:iCs/>
          <w:kern w:val="2"/>
          <w:lang w:val="en-US" w:eastAsia="en-US"/>
          <w14:ligatures w14:val="standardContextual"/>
        </w:rPr>
        <w:t>Biomolecules,</w:t>
      </w:r>
      <w:r w:rsidRPr="00B62041">
        <w:rPr>
          <w:rFonts w:eastAsia="Calibri"/>
          <w:kern w:val="2"/>
          <w:lang w:val="en-US" w:eastAsia="en-US"/>
          <w14:ligatures w14:val="standardContextual"/>
        </w:rPr>
        <w:t xml:space="preserve"> vol. 15, p. 326, 2025.</w:t>
      </w:r>
    </w:p>
    <w:p w14:paraId="11206C72" w14:textId="10790517"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[4]</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Siegel,</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R. L.</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K. D. Miller, A. Goding Sauer, S. A. Fedewa, L. F. Butterly, J. C. Anderson, et al., "</w:t>
      </w:r>
      <w:r w:rsidRPr="0017008F">
        <w:rPr>
          <w:rFonts w:eastAsia="Calibri"/>
          <w:kern w:val="2"/>
          <w:lang w:val="en-US" w:eastAsia="en-US"/>
          <w14:ligatures w14:val="standardContextual"/>
        </w:rPr>
        <w:t>Colorectal cancer statistics, 2020</w:t>
      </w:r>
      <w:r w:rsidRPr="00B62041">
        <w:rPr>
          <w:rFonts w:eastAsia="Calibri"/>
          <w:kern w:val="2"/>
          <w:lang w:val="en-US" w:eastAsia="en-US"/>
          <w14:ligatures w14:val="standardContextual"/>
        </w:rPr>
        <w:t xml:space="preserve">," CA: </w:t>
      </w:r>
      <w:r w:rsidRPr="0017008F">
        <w:rPr>
          <w:rFonts w:eastAsia="Calibri"/>
          <w:i/>
          <w:iCs/>
          <w:kern w:val="2"/>
          <w:lang w:val="en-US" w:eastAsia="en-US"/>
          <w14:ligatures w14:val="standardContextual"/>
        </w:rPr>
        <w:t>a cancer journal for clinicians</w:t>
      </w:r>
      <w:r w:rsidRPr="00B62041">
        <w:rPr>
          <w:rFonts w:eastAsia="Calibri"/>
          <w:kern w:val="2"/>
          <w:lang w:val="en-US" w:eastAsia="en-US"/>
          <w14:ligatures w14:val="standardContextual"/>
        </w:rPr>
        <w:t>, vol. 70, pp. 145-164, 2020.</w:t>
      </w:r>
    </w:p>
    <w:p w14:paraId="23ED00C5" w14:textId="712E4507"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[5]</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El-</w:t>
      </w:r>
      <w:proofErr w:type="spellStart"/>
      <w:r w:rsidRPr="00B62041">
        <w:rPr>
          <w:rFonts w:eastAsia="Calibri"/>
          <w:kern w:val="2"/>
          <w:lang w:val="en-US" w:eastAsia="en-US"/>
          <w14:ligatures w14:val="standardContextual"/>
        </w:rPr>
        <w:t>Khadragy</w:t>
      </w:r>
      <w:proofErr w:type="spellEnd"/>
      <w:r w:rsidRPr="00B62041">
        <w:rPr>
          <w:rFonts w:eastAsia="Calibri"/>
          <w:kern w:val="2"/>
          <w:lang w:val="en-US" w:eastAsia="en-US"/>
          <w14:ligatures w14:val="standardContextual"/>
        </w:rPr>
        <w:t>,</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M. F.</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H. M. Nabil, B. N. Hassan, A. A. Tohamy, H. F. </w:t>
      </w:r>
      <w:proofErr w:type="spellStart"/>
      <w:r w:rsidRPr="00B62041">
        <w:rPr>
          <w:rFonts w:eastAsia="Calibri"/>
          <w:kern w:val="2"/>
          <w:lang w:val="en-US" w:eastAsia="en-US"/>
          <w14:ligatures w14:val="standardContextual"/>
        </w:rPr>
        <w:t>Waaer</w:t>
      </w:r>
      <w:proofErr w:type="spellEnd"/>
      <w:r w:rsidRPr="00B62041">
        <w:rPr>
          <w:rFonts w:eastAsia="Calibri"/>
          <w:kern w:val="2"/>
          <w:lang w:val="en-US" w:eastAsia="en-US"/>
          <w14:ligatures w14:val="standardContextual"/>
        </w:rPr>
        <w:t xml:space="preserve">, H. M. Yehia, et al., "Bone marrow cell therapy on 1, 2-dimethylhydrazine (DMH)-induced colon cancer in rats," </w:t>
      </w:r>
      <w:r w:rsidRPr="0017008F">
        <w:rPr>
          <w:rFonts w:eastAsia="Calibri"/>
          <w:i/>
          <w:iCs/>
          <w:kern w:val="2"/>
          <w:lang w:val="en-US" w:eastAsia="en-US"/>
          <w14:ligatures w14:val="standardContextual"/>
        </w:rPr>
        <w:t>Cellular Physiology and Biochemistry</w:t>
      </w:r>
      <w:r w:rsidRPr="00B62041">
        <w:rPr>
          <w:rFonts w:eastAsia="Calibri"/>
          <w:kern w:val="2"/>
          <w:lang w:val="en-US" w:eastAsia="en-US"/>
          <w14:ligatures w14:val="standardContextual"/>
        </w:rPr>
        <w:t>, vol. 45, pp. 1072-1083, 2018.</w:t>
      </w:r>
    </w:p>
    <w:p w14:paraId="5643579D" w14:textId="5DFEE981" w:rsid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[6]</w:t>
      </w:r>
      <w:r w:rsidR="00C17F1E">
        <w:rPr>
          <w:rFonts w:eastAsia="Calibri"/>
          <w:kern w:val="2"/>
          <w:lang w:val="en-US" w:eastAsia="en-US"/>
          <w14:ligatures w14:val="standardContextual"/>
        </w:rPr>
        <w:t xml:space="preserve"> </w:t>
      </w:r>
      <w:proofErr w:type="spellStart"/>
      <w:r w:rsidRPr="00B62041">
        <w:rPr>
          <w:rFonts w:eastAsia="Calibri"/>
          <w:kern w:val="2"/>
          <w:lang w:val="en-US" w:eastAsia="en-US"/>
          <w14:ligatures w14:val="standardContextual"/>
        </w:rPr>
        <w:t>Tabakam</w:t>
      </w:r>
      <w:proofErr w:type="spellEnd"/>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T. G.</w:t>
      </w:r>
      <w:r w:rsidRPr="00B62041">
        <w:rPr>
          <w:rFonts w:eastAsia="Calibri"/>
          <w:kern w:val="2"/>
          <w:lang w:val="en-US" w:eastAsia="en-US"/>
          <w14:ligatures w14:val="standardContextual"/>
        </w:rPr>
        <w:t xml:space="preserve"> and T. J. </w:t>
      </w:r>
      <w:proofErr w:type="spellStart"/>
      <w:r w:rsidRPr="00B62041">
        <w:rPr>
          <w:rFonts w:eastAsia="Calibri"/>
          <w:kern w:val="2"/>
          <w:lang w:val="en-US" w:eastAsia="en-US"/>
          <w14:ligatures w14:val="standardContextual"/>
        </w:rPr>
        <w:t>Makhafola</w:t>
      </w:r>
      <w:proofErr w:type="spellEnd"/>
      <w:r w:rsidRPr="00B62041">
        <w:rPr>
          <w:rFonts w:eastAsia="Calibri"/>
          <w:kern w:val="2"/>
          <w:lang w:val="en-US" w:eastAsia="en-US"/>
          <w14:ligatures w14:val="standardContextual"/>
        </w:rPr>
        <w:t xml:space="preserve">, "Plant-Derived Alkaloids as a Potential Source of Treatment for Colorectal Cancer over the Past Five Years: A Comprehensive Review," </w:t>
      </w:r>
      <w:r w:rsidRPr="0017008F">
        <w:rPr>
          <w:rFonts w:eastAsia="Calibri"/>
          <w:i/>
          <w:iCs/>
          <w:kern w:val="2"/>
          <w:lang w:val="en-US" w:eastAsia="en-US"/>
          <w14:ligatures w14:val="standardContextual"/>
        </w:rPr>
        <w:t>Plants,</w:t>
      </w:r>
      <w:r w:rsidRPr="00B62041">
        <w:rPr>
          <w:rFonts w:eastAsia="Calibri"/>
          <w:kern w:val="2"/>
          <w:lang w:val="en-US" w:eastAsia="en-US"/>
          <w14:ligatures w14:val="standardContextual"/>
        </w:rPr>
        <w:t xml:space="preserve"> vol. 13, p. 2723, 2024.</w:t>
      </w:r>
    </w:p>
    <w:p w14:paraId="1F4C181B" w14:textId="64DE7A12" w:rsidR="00C17F1E" w:rsidRPr="00B62041" w:rsidRDefault="00C17F1E"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Pr>
          <w:rFonts w:eastAsia="Calibri"/>
          <w:kern w:val="2"/>
          <w:lang w:val="en-US" w:eastAsia="en-US"/>
          <w14:ligatures w14:val="standardContextual"/>
        </w:rPr>
        <w:t>7</w:t>
      </w:r>
      <w:r w:rsidRPr="00B62041">
        <w:rPr>
          <w:rFonts w:eastAsia="Calibri"/>
          <w:kern w:val="2"/>
          <w:lang w:val="en-US" w:eastAsia="en-US"/>
          <w14:ligatures w14:val="standardContextual"/>
        </w:rPr>
        <w:t>]</w:t>
      </w:r>
      <w:r>
        <w:rPr>
          <w:rFonts w:eastAsia="Calibri"/>
          <w:kern w:val="2"/>
          <w:lang w:val="en-US" w:eastAsia="en-US"/>
          <w14:ligatures w14:val="standardContextual"/>
        </w:rPr>
        <w:t xml:space="preserve"> </w:t>
      </w:r>
      <w:r w:rsidRPr="00586342">
        <w:rPr>
          <w:noProof/>
        </w:rPr>
        <w:t>Latif</w:t>
      </w:r>
      <w:r w:rsidR="00CF1086" w:rsidRPr="00CF1086">
        <w:rPr>
          <w:noProof/>
        </w:rPr>
        <w:t xml:space="preserve"> </w:t>
      </w:r>
      <w:r w:rsidR="00CF1086" w:rsidRPr="00586342">
        <w:rPr>
          <w:noProof/>
        </w:rPr>
        <w:t>R.</w:t>
      </w:r>
      <w:r w:rsidRPr="00586342">
        <w:rPr>
          <w:noProof/>
        </w:rPr>
        <w:t xml:space="preserve"> and T. Nawaz, "Medicinal plants and human health: A comprehensive review of bioactive compounds, therapeutic effects, and applications," </w:t>
      </w:r>
      <w:r w:rsidRPr="00586342">
        <w:rPr>
          <w:i/>
          <w:noProof/>
        </w:rPr>
        <w:t xml:space="preserve">Phytochemistry Reviews, </w:t>
      </w:r>
      <w:r w:rsidRPr="00586342">
        <w:rPr>
          <w:noProof/>
        </w:rPr>
        <w:t>pp. 1-44, 2025</w:t>
      </w:r>
    </w:p>
    <w:p w14:paraId="055DC1D7" w14:textId="1C128B4B" w:rsidR="00CF1086"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8</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Chen,</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J.-F.</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S.-W. Wu, Z.-M. Shi, and B. Hu, "Traditional Chinese medicine for colorectal cancer </w:t>
      </w:r>
    </w:p>
    <w:p w14:paraId="10D7E02B" w14:textId="77777777" w:rsidR="00CF1086" w:rsidRDefault="00CF1086" w:rsidP="00B62041">
      <w:pPr>
        <w:spacing w:after="160"/>
        <w:jc w:val="both"/>
        <w:rPr>
          <w:rFonts w:eastAsia="Calibri"/>
          <w:kern w:val="2"/>
          <w:lang w:val="en-US" w:eastAsia="en-US"/>
          <w14:ligatures w14:val="standardContextual"/>
        </w:rPr>
      </w:pPr>
    </w:p>
    <w:p w14:paraId="4678363B" w14:textId="77777777" w:rsidR="00CF1086" w:rsidRDefault="00CF1086" w:rsidP="00B62041">
      <w:pPr>
        <w:spacing w:after="160"/>
        <w:jc w:val="both"/>
        <w:rPr>
          <w:rFonts w:eastAsia="Calibri"/>
          <w:kern w:val="2"/>
          <w:lang w:val="en-US" w:eastAsia="en-US"/>
          <w14:ligatures w14:val="standardContextual"/>
        </w:rPr>
      </w:pPr>
    </w:p>
    <w:p w14:paraId="7084F7E6" w14:textId="0CC558DE"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treatment: potential targets and mechanisms of action</w:t>
      </w:r>
      <w:r w:rsidRPr="0017008F">
        <w:rPr>
          <w:rFonts w:eastAsia="Calibri"/>
          <w:i/>
          <w:iCs/>
          <w:kern w:val="2"/>
          <w:lang w:val="en-US" w:eastAsia="en-US"/>
          <w14:ligatures w14:val="standardContextual"/>
        </w:rPr>
        <w:t>," Chinese Medicine</w:t>
      </w:r>
      <w:r w:rsidRPr="00B62041">
        <w:rPr>
          <w:rFonts w:eastAsia="Calibri"/>
          <w:kern w:val="2"/>
          <w:lang w:val="en-US" w:eastAsia="en-US"/>
          <w14:ligatures w14:val="standardContextual"/>
        </w:rPr>
        <w:t>, vol. 18, p. 14, 2023.</w:t>
      </w:r>
    </w:p>
    <w:p w14:paraId="382738E7" w14:textId="7047D5A9"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9</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Khan,</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A.</w:t>
      </w:r>
      <w:r w:rsidRPr="00B62041">
        <w:rPr>
          <w:rFonts w:eastAsia="Calibri"/>
          <w:kern w:val="2"/>
          <w:lang w:val="en-US" w:eastAsia="en-US"/>
          <w14:ligatures w14:val="standardContextual"/>
        </w:rPr>
        <w:t xml:space="preserve"> </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K. </w:t>
      </w:r>
      <w:proofErr w:type="spellStart"/>
      <w:r w:rsidRPr="00B62041">
        <w:rPr>
          <w:rFonts w:eastAsia="Calibri"/>
          <w:kern w:val="2"/>
          <w:lang w:val="en-US" w:eastAsia="en-US"/>
          <w14:ligatures w14:val="standardContextual"/>
        </w:rPr>
        <w:t>Maparu</w:t>
      </w:r>
      <w:proofErr w:type="spellEnd"/>
      <w:r w:rsidRPr="00B62041">
        <w:rPr>
          <w:rFonts w:eastAsia="Calibri"/>
          <w:kern w:val="2"/>
          <w:lang w:val="en-US" w:eastAsia="en-US"/>
          <w14:ligatures w14:val="standardContextual"/>
        </w:rPr>
        <w:t xml:space="preserve">, and K. R. Aran, "Catharanthus roseus: A Comprehensive Review of Its Phytochemicals, Therapeutic Potential, and Mechanisms of Action," </w:t>
      </w:r>
      <w:r w:rsidRPr="0017008F">
        <w:rPr>
          <w:rFonts w:eastAsia="Calibri"/>
          <w:i/>
          <w:iCs/>
          <w:kern w:val="2"/>
          <w:lang w:val="en-US" w:eastAsia="en-US"/>
          <w14:ligatures w14:val="standardContextual"/>
        </w:rPr>
        <w:t>Nature Cell and Science</w:t>
      </w:r>
      <w:r w:rsidRPr="00B62041">
        <w:rPr>
          <w:rFonts w:eastAsia="Calibri"/>
          <w:kern w:val="2"/>
          <w:lang w:val="en-US" w:eastAsia="en-US"/>
          <w14:ligatures w14:val="standardContextual"/>
        </w:rPr>
        <w:t>, pp. 000-000, 2025.</w:t>
      </w:r>
    </w:p>
    <w:p w14:paraId="53BEC39E" w14:textId="528781E2"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10</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Alsalman,</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A.</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M. A. Al-</w:t>
      </w:r>
      <w:proofErr w:type="spellStart"/>
      <w:r w:rsidRPr="00B62041">
        <w:rPr>
          <w:rFonts w:eastAsia="Calibri"/>
          <w:kern w:val="2"/>
          <w:lang w:val="en-US" w:eastAsia="en-US"/>
          <w14:ligatures w14:val="standardContextual"/>
        </w:rPr>
        <w:t>Mterin</w:t>
      </w:r>
      <w:proofErr w:type="spellEnd"/>
      <w:r w:rsidRPr="00B62041">
        <w:rPr>
          <w:rFonts w:eastAsia="Calibri"/>
          <w:kern w:val="2"/>
          <w:lang w:val="en-US" w:eastAsia="en-US"/>
          <w14:ligatures w14:val="standardContextual"/>
        </w:rPr>
        <w:t>, A. Abu-</w:t>
      </w:r>
      <w:proofErr w:type="spellStart"/>
      <w:r w:rsidRPr="00B62041">
        <w:rPr>
          <w:rFonts w:eastAsia="Calibri"/>
          <w:kern w:val="2"/>
          <w:lang w:val="en-US" w:eastAsia="en-US"/>
          <w14:ligatures w14:val="standardContextual"/>
        </w:rPr>
        <w:t>Dayeh</w:t>
      </w:r>
      <w:proofErr w:type="spellEnd"/>
      <w:r w:rsidRPr="00B62041">
        <w:rPr>
          <w:rFonts w:eastAsia="Calibri"/>
          <w:kern w:val="2"/>
          <w:lang w:val="en-US" w:eastAsia="en-US"/>
          <w14:ligatures w14:val="standardContextual"/>
        </w:rPr>
        <w:t xml:space="preserve">, F. Alloush, K. Murshed, and E. </w:t>
      </w:r>
      <w:proofErr w:type="spellStart"/>
      <w:r w:rsidRPr="00B62041">
        <w:rPr>
          <w:rFonts w:eastAsia="Calibri"/>
          <w:kern w:val="2"/>
          <w:lang w:val="en-US" w:eastAsia="en-US"/>
          <w14:ligatures w14:val="standardContextual"/>
        </w:rPr>
        <w:t>Elkord</w:t>
      </w:r>
      <w:proofErr w:type="spellEnd"/>
      <w:r w:rsidRPr="00B62041">
        <w:rPr>
          <w:rFonts w:eastAsia="Calibri"/>
          <w:kern w:val="2"/>
          <w:lang w:val="en-US" w:eastAsia="en-US"/>
          <w14:ligatures w14:val="standardContextual"/>
        </w:rPr>
        <w:t xml:space="preserve">, "Associations of complete blood count parameters with disease-free survival in right-and left-sided colorectal cancer patients," </w:t>
      </w:r>
      <w:r w:rsidRPr="0017008F">
        <w:rPr>
          <w:rFonts w:eastAsia="Calibri"/>
          <w:i/>
          <w:iCs/>
          <w:kern w:val="2"/>
          <w:lang w:val="en-US" w:eastAsia="en-US"/>
          <w14:ligatures w14:val="standardContextual"/>
        </w:rPr>
        <w:t>Journal of personalized medicine</w:t>
      </w:r>
      <w:r w:rsidRPr="00B62041">
        <w:rPr>
          <w:rFonts w:eastAsia="Calibri"/>
          <w:kern w:val="2"/>
          <w:lang w:val="en-US" w:eastAsia="en-US"/>
          <w14:ligatures w14:val="standardContextual"/>
        </w:rPr>
        <w:t>, vol. 12, p. 816, 2022.</w:t>
      </w:r>
    </w:p>
    <w:p w14:paraId="58636C19" w14:textId="770D387B"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1</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Harborne,</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A.</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Phytochemical methods a guide to modern techniques of plant analysis: </w:t>
      </w:r>
      <w:r w:rsidRPr="0017008F">
        <w:rPr>
          <w:rFonts w:eastAsia="Calibri"/>
          <w:i/>
          <w:iCs/>
          <w:kern w:val="2"/>
          <w:lang w:val="en-US" w:eastAsia="en-US"/>
          <w14:ligatures w14:val="standardContextual"/>
        </w:rPr>
        <w:t>springer science &amp; business media</w:t>
      </w:r>
      <w:r w:rsidRPr="00B62041">
        <w:rPr>
          <w:rFonts w:eastAsia="Calibri"/>
          <w:kern w:val="2"/>
          <w:lang w:val="en-US" w:eastAsia="en-US"/>
          <w14:ligatures w14:val="standardContextual"/>
        </w:rPr>
        <w:t>, 1998.</w:t>
      </w:r>
    </w:p>
    <w:p w14:paraId="7936E3E7" w14:textId="71F22D4E"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2</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Islam,</w:t>
      </w:r>
      <w:r w:rsidR="00CF1086" w:rsidRPr="00CF1086">
        <w:rPr>
          <w:rFonts w:eastAsia="Calibri"/>
          <w:kern w:val="2"/>
          <w:lang w:val="en-US" w:eastAsia="en-US"/>
          <w14:ligatures w14:val="standardContextual"/>
        </w:rPr>
        <w:t xml:space="preserve"> </w:t>
      </w:r>
      <w:r w:rsidR="00CF1086" w:rsidRPr="00B62041">
        <w:rPr>
          <w:rFonts w:eastAsia="Calibri"/>
          <w:kern w:val="2"/>
          <w:lang w:val="en-US" w:eastAsia="en-US"/>
          <w14:ligatures w14:val="standardContextual"/>
        </w:rPr>
        <w:t>M. R.</w:t>
      </w:r>
      <w:r w:rsidR="00CF1086">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M. A. Awal, A. </w:t>
      </w:r>
      <w:proofErr w:type="spellStart"/>
      <w:r w:rsidRPr="00B62041">
        <w:rPr>
          <w:rFonts w:eastAsia="Calibri"/>
          <w:kern w:val="2"/>
          <w:lang w:val="en-US" w:eastAsia="en-US"/>
          <w14:ligatures w14:val="standardContextual"/>
        </w:rPr>
        <w:t>Khames</w:t>
      </w:r>
      <w:proofErr w:type="spellEnd"/>
      <w:r w:rsidRPr="00B62041">
        <w:rPr>
          <w:rFonts w:eastAsia="Calibri"/>
          <w:kern w:val="2"/>
          <w:lang w:val="en-US" w:eastAsia="en-US"/>
          <w14:ligatures w14:val="standardContextual"/>
        </w:rPr>
        <w:t xml:space="preserve">, M. A. </w:t>
      </w:r>
      <w:proofErr w:type="spellStart"/>
      <w:r w:rsidRPr="00B62041">
        <w:rPr>
          <w:rFonts w:eastAsia="Calibri"/>
          <w:kern w:val="2"/>
          <w:lang w:val="en-US" w:eastAsia="en-US"/>
          <w14:ligatures w14:val="standardContextual"/>
        </w:rPr>
        <w:t>Abourehab</w:t>
      </w:r>
      <w:proofErr w:type="spellEnd"/>
      <w:r w:rsidRPr="00B62041">
        <w:rPr>
          <w:rFonts w:eastAsia="Calibri"/>
          <w:kern w:val="2"/>
          <w:lang w:val="en-US" w:eastAsia="en-US"/>
          <w14:ligatures w14:val="standardContextual"/>
        </w:rPr>
        <w:t xml:space="preserve">, A. Samad, W. M. Hassan, et al., "Computational identification of druggable bioactive compounds from </w:t>
      </w:r>
      <w:proofErr w:type="spellStart"/>
      <w:r w:rsidRPr="00B62041">
        <w:rPr>
          <w:rFonts w:eastAsia="Calibri"/>
          <w:kern w:val="2"/>
          <w:lang w:val="en-US" w:eastAsia="en-US"/>
          <w14:ligatures w14:val="standardContextual"/>
        </w:rPr>
        <w:t>catharanthus</w:t>
      </w:r>
      <w:proofErr w:type="spellEnd"/>
      <w:r w:rsidRPr="00B62041">
        <w:rPr>
          <w:rFonts w:eastAsia="Calibri"/>
          <w:kern w:val="2"/>
          <w:lang w:val="en-US" w:eastAsia="en-US"/>
          <w14:ligatures w14:val="standardContextual"/>
        </w:rPr>
        <w:t xml:space="preserve"> roseus and </w:t>
      </w:r>
      <w:proofErr w:type="spellStart"/>
      <w:r w:rsidRPr="00B62041">
        <w:rPr>
          <w:rFonts w:eastAsia="Calibri"/>
          <w:kern w:val="2"/>
          <w:lang w:val="en-US" w:eastAsia="en-US"/>
          <w14:ligatures w14:val="standardContextual"/>
        </w:rPr>
        <w:t>avicennia</w:t>
      </w:r>
      <w:proofErr w:type="spellEnd"/>
      <w:r w:rsidRPr="00B62041">
        <w:rPr>
          <w:rFonts w:eastAsia="Calibri"/>
          <w:kern w:val="2"/>
          <w:lang w:val="en-US" w:eastAsia="en-US"/>
          <w14:ligatures w14:val="standardContextual"/>
        </w:rPr>
        <w:t xml:space="preserve"> marina against colorectal cancer by targeting thymidylate synthase," </w:t>
      </w:r>
      <w:r w:rsidRPr="0017008F">
        <w:rPr>
          <w:rFonts w:eastAsia="Calibri"/>
          <w:i/>
          <w:iCs/>
          <w:kern w:val="2"/>
          <w:lang w:val="en-US" w:eastAsia="en-US"/>
          <w14:ligatures w14:val="standardContextual"/>
        </w:rPr>
        <w:t>Molecules</w:t>
      </w:r>
      <w:r w:rsidRPr="00B62041">
        <w:rPr>
          <w:rFonts w:eastAsia="Calibri"/>
          <w:kern w:val="2"/>
          <w:lang w:val="en-US" w:eastAsia="en-US"/>
          <w14:ligatures w14:val="standardContextual"/>
        </w:rPr>
        <w:t>, vol. 27, p. 2089, 2022.</w:t>
      </w:r>
    </w:p>
    <w:p w14:paraId="49D2198A" w14:textId="55A59112" w:rsidR="00B62041" w:rsidRPr="00B62041" w:rsidRDefault="00B62041" w:rsidP="00C17F1E">
      <w:pPr>
        <w:tabs>
          <w:tab w:val="left" w:pos="426"/>
          <w:tab w:val="left" w:pos="567"/>
        </w:tabs>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3</w:t>
      </w:r>
      <w:r w:rsidRPr="00B62041">
        <w:rPr>
          <w:rFonts w:eastAsia="Calibri"/>
          <w:kern w:val="2"/>
          <w:lang w:val="en-US" w:eastAsia="en-US"/>
          <w14:ligatures w14:val="standardContextual"/>
        </w:rPr>
        <w:t>]</w:t>
      </w:r>
      <w:r w:rsidR="00BC19A4">
        <w:rPr>
          <w:rFonts w:eastAsia="Calibri"/>
          <w:kern w:val="2"/>
          <w:lang w:val="en-US" w:eastAsia="en-US"/>
          <w14:ligatures w14:val="standardContextual"/>
        </w:rPr>
        <w:t xml:space="preserve"> </w:t>
      </w:r>
      <w:proofErr w:type="spellStart"/>
      <w:r w:rsidRPr="00B62041">
        <w:rPr>
          <w:rFonts w:eastAsia="Calibri"/>
          <w:kern w:val="2"/>
          <w:lang w:val="en-US" w:eastAsia="en-US"/>
          <w14:ligatures w14:val="standardContextual"/>
        </w:rPr>
        <w:t>Abedimanesh</w:t>
      </w:r>
      <w:proofErr w:type="spellEnd"/>
      <w:r w:rsidRPr="00B62041">
        <w:rPr>
          <w:rFonts w:eastAsia="Calibri"/>
          <w:kern w:val="2"/>
          <w:lang w:val="en-US" w:eastAsia="en-US"/>
          <w14:ligatures w14:val="standardContextual"/>
        </w:rPr>
        <w:t>,</w:t>
      </w:r>
      <w:r w:rsid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N.</w:t>
      </w:r>
      <w:r w:rsidRPr="00B62041">
        <w:rPr>
          <w:rFonts w:eastAsia="Calibri"/>
          <w:kern w:val="2"/>
          <w:lang w:val="en-US" w:eastAsia="en-US"/>
          <w14:ligatures w14:val="standardContextual"/>
        </w:rPr>
        <w:t xml:space="preserve"> M. Nouri, K. </w:t>
      </w:r>
      <w:proofErr w:type="spellStart"/>
      <w:r w:rsidRPr="00B62041">
        <w:rPr>
          <w:rFonts w:eastAsia="Calibri"/>
          <w:kern w:val="2"/>
          <w:lang w:val="en-US" w:eastAsia="en-US"/>
          <w14:ligatures w14:val="standardContextual"/>
        </w:rPr>
        <w:t>Mohammadnejad</w:t>
      </w:r>
      <w:proofErr w:type="spellEnd"/>
      <w:r w:rsidRPr="00B62041">
        <w:rPr>
          <w:rFonts w:eastAsia="Calibri"/>
          <w:kern w:val="2"/>
          <w:lang w:val="en-US" w:eastAsia="en-US"/>
          <w14:ligatures w14:val="standardContextual"/>
        </w:rPr>
        <w:t xml:space="preserve">, M. Barati, E. </w:t>
      </w:r>
      <w:proofErr w:type="spellStart"/>
      <w:r w:rsidRPr="00B62041">
        <w:rPr>
          <w:rFonts w:eastAsia="Calibri"/>
          <w:kern w:val="2"/>
          <w:lang w:val="en-US" w:eastAsia="en-US"/>
          <w14:ligatures w14:val="standardContextual"/>
        </w:rPr>
        <w:t>Dabardani</w:t>
      </w:r>
      <w:proofErr w:type="spellEnd"/>
      <w:r w:rsidRPr="00B62041">
        <w:rPr>
          <w:rFonts w:eastAsia="Calibri"/>
          <w:kern w:val="2"/>
          <w:lang w:val="en-US" w:eastAsia="en-US"/>
          <w14:ligatures w14:val="standardContextual"/>
        </w:rPr>
        <w:t xml:space="preserve">, E. Kakavand, et al., "Vinca </w:t>
      </w:r>
      <w:proofErr w:type="spellStart"/>
      <w:r w:rsidRPr="00B62041">
        <w:rPr>
          <w:rFonts w:eastAsia="Calibri"/>
          <w:kern w:val="2"/>
          <w:lang w:val="en-US" w:eastAsia="en-US"/>
          <w14:ligatures w14:val="standardContextual"/>
        </w:rPr>
        <w:t>herbacea</w:t>
      </w:r>
      <w:proofErr w:type="spellEnd"/>
      <w:r w:rsidRPr="00B62041">
        <w:rPr>
          <w:rFonts w:eastAsia="Calibri"/>
          <w:kern w:val="2"/>
          <w:lang w:val="en-US" w:eastAsia="en-US"/>
          <w14:ligatures w14:val="standardContextual"/>
        </w:rPr>
        <w:t xml:space="preserve"> extract suppresses NF-kB signaling and modulates SIRT1/AMPK/PGC1α Axis to exert antidiabetic effects in streptozotocin-induced diabetic rats," </w:t>
      </w:r>
      <w:r w:rsidRPr="0017008F">
        <w:rPr>
          <w:rFonts w:eastAsia="Calibri"/>
          <w:i/>
          <w:iCs/>
          <w:kern w:val="2"/>
          <w:lang w:val="en-US" w:eastAsia="en-US"/>
          <w14:ligatures w14:val="standardContextual"/>
        </w:rPr>
        <w:t>Research Journal of Pharmacognosy</w:t>
      </w:r>
      <w:r w:rsidRPr="00B62041">
        <w:rPr>
          <w:rFonts w:eastAsia="Calibri"/>
          <w:kern w:val="2"/>
          <w:lang w:val="en-US" w:eastAsia="en-US"/>
          <w14:ligatures w14:val="standardContextual"/>
        </w:rPr>
        <w:t>, vol. 9, pp. 1-15, 2022.</w:t>
      </w:r>
    </w:p>
    <w:p w14:paraId="1C2AB075" w14:textId="6BA67EA2"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4</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Shukla,</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S. </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M. Rudani, K. Gohil, N. Patel, P. </w:t>
      </w:r>
      <w:proofErr w:type="spellStart"/>
      <w:r w:rsidRPr="00B62041">
        <w:rPr>
          <w:rFonts w:eastAsia="Calibri"/>
          <w:kern w:val="2"/>
          <w:lang w:val="en-US" w:eastAsia="en-US"/>
          <w14:ligatures w14:val="standardContextual"/>
        </w:rPr>
        <w:t>Habbu</w:t>
      </w:r>
      <w:proofErr w:type="spellEnd"/>
      <w:r w:rsidRPr="00B62041">
        <w:rPr>
          <w:rFonts w:eastAsia="Calibri"/>
          <w:kern w:val="2"/>
          <w:lang w:val="en-US" w:eastAsia="en-US"/>
          <w14:ligatures w14:val="standardContextual"/>
        </w:rPr>
        <w:t xml:space="preserve">, and R. Kumar, "Antioxidant and anticancer activities of endophytic-crude fraction of </w:t>
      </w:r>
      <w:proofErr w:type="spellStart"/>
      <w:r w:rsidRPr="00B62041">
        <w:rPr>
          <w:rFonts w:eastAsia="Calibri"/>
          <w:kern w:val="2"/>
          <w:lang w:val="en-US" w:eastAsia="en-US"/>
          <w14:ligatures w14:val="standardContextual"/>
        </w:rPr>
        <w:t>Sadabahar</w:t>
      </w:r>
      <w:proofErr w:type="spellEnd"/>
      <w:r w:rsidRPr="00B62041">
        <w:rPr>
          <w:rFonts w:eastAsia="Calibri"/>
          <w:kern w:val="2"/>
          <w:lang w:val="en-US" w:eastAsia="en-US"/>
          <w14:ligatures w14:val="standardContextual"/>
        </w:rPr>
        <w:t xml:space="preserve"> [Catharanthus roseus (L.) G. Don] in rats," </w:t>
      </w:r>
      <w:r w:rsidRPr="0017008F">
        <w:rPr>
          <w:rFonts w:eastAsia="Calibri"/>
          <w:i/>
          <w:iCs/>
          <w:kern w:val="2"/>
          <w:lang w:val="en-US" w:eastAsia="en-US"/>
          <w14:ligatures w14:val="standardContextual"/>
        </w:rPr>
        <w:t>International Journal of Unani and Integrative Medicine,</w:t>
      </w:r>
      <w:r w:rsidRPr="00B62041">
        <w:rPr>
          <w:rFonts w:eastAsia="Calibri"/>
          <w:kern w:val="2"/>
          <w:lang w:val="en-US" w:eastAsia="en-US"/>
          <w14:ligatures w14:val="standardContextual"/>
        </w:rPr>
        <w:t xml:space="preserve"> vol. 2, pp. 26-34, 2018.</w:t>
      </w:r>
    </w:p>
    <w:p w14:paraId="2CC02C81" w14:textId="3A37D6CF"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lastRenderedPageBreak/>
        <w:t>[1</w:t>
      </w:r>
      <w:r w:rsidR="00C17F1E">
        <w:rPr>
          <w:rFonts w:eastAsia="Calibri"/>
          <w:kern w:val="2"/>
          <w:lang w:val="en-US" w:eastAsia="en-US"/>
          <w14:ligatures w14:val="standardContextual"/>
        </w:rPr>
        <w:t>5</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Comfort,</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M.-I.</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D. Majesty, A. Eze, N. Kelechi, E. </w:t>
      </w:r>
      <w:proofErr w:type="spellStart"/>
      <w:r w:rsidRPr="00B62041">
        <w:rPr>
          <w:rFonts w:eastAsia="Calibri"/>
          <w:kern w:val="2"/>
          <w:lang w:val="en-US" w:eastAsia="en-US"/>
          <w14:ligatures w14:val="standardContextual"/>
        </w:rPr>
        <w:t>Ahamefula</w:t>
      </w:r>
      <w:proofErr w:type="spellEnd"/>
      <w:r w:rsidRPr="00B62041">
        <w:rPr>
          <w:rFonts w:eastAsia="Calibri"/>
          <w:kern w:val="2"/>
          <w:lang w:val="en-US" w:eastAsia="en-US"/>
          <w14:ligatures w14:val="standardContextual"/>
        </w:rPr>
        <w:t xml:space="preserve">, N. Ijeoma, et al., "Effect of ethanolic leaf extract of Vinca major L. on biochemical parameters and glucose level of alloxan induced diabetic rats," </w:t>
      </w:r>
      <w:r w:rsidRPr="0017008F">
        <w:rPr>
          <w:rFonts w:eastAsia="Calibri"/>
          <w:i/>
          <w:iCs/>
          <w:kern w:val="2"/>
          <w:lang w:val="en-US" w:eastAsia="en-US"/>
          <w14:ligatures w14:val="standardContextual"/>
        </w:rPr>
        <w:t xml:space="preserve">Afr. J. </w:t>
      </w:r>
      <w:proofErr w:type="spellStart"/>
      <w:r w:rsidRPr="0017008F">
        <w:rPr>
          <w:rFonts w:eastAsia="Calibri"/>
          <w:i/>
          <w:iCs/>
          <w:kern w:val="2"/>
          <w:lang w:val="en-US" w:eastAsia="en-US"/>
          <w14:ligatures w14:val="standardContextual"/>
        </w:rPr>
        <w:t>Biotechnol</w:t>
      </w:r>
      <w:proofErr w:type="spellEnd"/>
      <w:r w:rsidRPr="0017008F">
        <w:rPr>
          <w:rFonts w:eastAsia="Calibri"/>
          <w:i/>
          <w:iCs/>
          <w:kern w:val="2"/>
          <w:lang w:val="en-US" w:eastAsia="en-US"/>
          <w14:ligatures w14:val="standardContextual"/>
        </w:rPr>
        <w:t>,</w:t>
      </w:r>
      <w:r w:rsidRPr="00B62041">
        <w:rPr>
          <w:rFonts w:eastAsia="Calibri"/>
          <w:kern w:val="2"/>
          <w:lang w:val="en-US" w:eastAsia="en-US"/>
          <w14:ligatures w14:val="standardContextual"/>
        </w:rPr>
        <w:t xml:space="preserve"> vol. 18, pp. 1054-1068, 2019.</w:t>
      </w:r>
    </w:p>
    <w:p w14:paraId="63782CF3" w14:textId="07EF18DE"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6</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Han,</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Y.</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X. Su, Q. Li, S. Liu, S. Cheng, W. Shen, et al., "L-theanine's therapeutic effects on colorectal cancer: Mechanistic insights from a 1, 2-dimethylhydrazine-induced rat model," </w:t>
      </w:r>
      <w:r w:rsidRPr="0017008F">
        <w:rPr>
          <w:rFonts w:eastAsia="Calibri"/>
          <w:i/>
          <w:iCs/>
          <w:kern w:val="2"/>
          <w:lang w:val="en-US" w:eastAsia="en-US"/>
          <w14:ligatures w14:val="standardContextual"/>
        </w:rPr>
        <w:t>Translational Oncology</w:t>
      </w:r>
      <w:r w:rsidRPr="00B62041">
        <w:rPr>
          <w:rFonts w:eastAsia="Calibri"/>
          <w:kern w:val="2"/>
          <w:lang w:val="en-US" w:eastAsia="en-US"/>
          <w14:ligatures w14:val="standardContextual"/>
        </w:rPr>
        <w:t>, vol. 63, p. 102609, 2026.</w:t>
      </w:r>
    </w:p>
    <w:p w14:paraId="14614930" w14:textId="59DCE255"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7</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Jornada,</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D. H. </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D. Boreski, D. E. Chiba, D. </w:t>
      </w:r>
      <w:proofErr w:type="spellStart"/>
      <w:r w:rsidRPr="00B62041">
        <w:rPr>
          <w:rFonts w:eastAsia="Calibri"/>
          <w:kern w:val="2"/>
          <w:lang w:val="en-US" w:eastAsia="en-US"/>
          <w14:ligatures w14:val="standardContextual"/>
        </w:rPr>
        <w:t>Ligeiro</w:t>
      </w:r>
      <w:proofErr w:type="spellEnd"/>
      <w:r w:rsidRPr="00B62041">
        <w:rPr>
          <w:rFonts w:eastAsia="Calibri"/>
          <w:kern w:val="2"/>
          <w:lang w:val="en-US" w:eastAsia="en-US"/>
          <w14:ligatures w14:val="standardContextual"/>
        </w:rPr>
        <w:t xml:space="preserve">, M. A. M. Luz, E. A. Gabriel, et al., "Synergistic enhancement of 5-fluorouracil chemotherapeutic efficacy by taurine in colon cancer rat model," </w:t>
      </w:r>
      <w:r w:rsidRPr="0017008F">
        <w:rPr>
          <w:rFonts w:eastAsia="Calibri"/>
          <w:i/>
          <w:iCs/>
          <w:kern w:val="2"/>
          <w:lang w:val="en-US" w:eastAsia="en-US"/>
          <w14:ligatures w14:val="standardContextual"/>
        </w:rPr>
        <w:t>Nutrients,</w:t>
      </w:r>
      <w:r w:rsidRPr="00B62041">
        <w:rPr>
          <w:rFonts w:eastAsia="Calibri"/>
          <w:kern w:val="2"/>
          <w:lang w:val="en-US" w:eastAsia="en-US"/>
          <w14:ligatures w14:val="standardContextual"/>
        </w:rPr>
        <w:t xml:space="preserve"> vol. 16, p. 3047, 2024.</w:t>
      </w:r>
    </w:p>
    <w:p w14:paraId="734160EB" w14:textId="771FF22A"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8</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Kim,</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M. J. </w:t>
      </w:r>
      <w:r w:rsidRPr="00B62041">
        <w:rPr>
          <w:rFonts w:eastAsia="Calibri"/>
          <w:kern w:val="2"/>
          <w:lang w:val="en-US" w:eastAsia="en-US"/>
          <w14:ligatures w14:val="standardContextual"/>
        </w:rPr>
        <w:t xml:space="preserve"> Q. Han, M. Bouvet, R. M. Hoffman, and J. H. Park, "Recombinant oral </w:t>
      </w:r>
      <w:proofErr w:type="spellStart"/>
      <w:r w:rsidRPr="00B62041">
        <w:rPr>
          <w:rFonts w:eastAsia="Calibri"/>
          <w:kern w:val="2"/>
          <w:lang w:val="en-US" w:eastAsia="en-US"/>
          <w14:ligatures w14:val="standardContextual"/>
        </w:rPr>
        <w:t>methioninase</w:t>
      </w:r>
      <w:proofErr w:type="spellEnd"/>
      <w:r w:rsidRPr="00B62041">
        <w:rPr>
          <w:rFonts w:eastAsia="Calibri"/>
          <w:kern w:val="2"/>
          <w:lang w:val="en-US" w:eastAsia="en-US"/>
          <w14:ligatures w14:val="standardContextual"/>
        </w:rPr>
        <w:t xml:space="preserve"> (o-</w:t>
      </w:r>
      <w:proofErr w:type="spellStart"/>
      <w:r w:rsidRPr="00B62041">
        <w:rPr>
          <w:rFonts w:eastAsia="Calibri"/>
          <w:kern w:val="2"/>
          <w:lang w:val="en-US" w:eastAsia="en-US"/>
          <w14:ligatures w14:val="standardContextual"/>
        </w:rPr>
        <w:t>rMETase</w:t>
      </w:r>
      <w:proofErr w:type="spellEnd"/>
      <w:r w:rsidRPr="00B62041">
        <w:rPr>
          <w:rFonts w:eastAsia="Calibri"/>
          <w:kern w:val="2"/>
          <w:lang w:val="en-US" w:eastAsia="en-US"/>
          <w14:ligatures w14:val="standardContextual"/>
        </w:rPr>
        <w:t xml:space="preserve">) combined with </w:t>
      </w:r>
      <w:proofErr w:type="spellStart"/>
      <w:r w:rsidRPr="00B62041">
        <w:rPr>
          <w:rFonts w:eastAsia="Calibri"/>
          <w:kern w:val="2"/>
          <w:lang w:val="en-US" w:eastAsia="en-US"/>
          <w14:ligatures w14:val="standardContextual"/>
        </w:rPr>
        <w:t>oxaliplatinum</w:t>
      </w:r>
      <w:proofErr w:type="spellEnd"/>
      <w:r w:rsidRPr="00B62041">
        <w:rPr>
          <w:rFonts w:eastAsia="Calibri"/>
          <w:kern w:val="2"/>
          <w:lang w:val="en-US" w:eastAsia="en-US"/>
          <w14:ligatures w14:val="standardContextual"/>
        </w:rPr>
        <w:t xml:space="preserve"> plus 5-fluorouracil improves survival of mice with massive colon-cancer peritoneal carcinomatosis," </w:t>
      </w:r>
      <w:r w:rsidRPr="0017008F">
        <w:rPr>
          <w:rFonts w:eastAsia="Calibri"/>
          <w:i/>
          <w:iCs/>
          <w:kern w:val="2"/>
          <w:lang w:val="en-US" w:eastAsia="en-US"/>
          <w14:ligatures w14:val="standardContextual"/>
        </w:rPr>
        <w:t>Anticancer Research</w:t>
      </w:r>
      <w:r w:rsidRPr="00B62041">
        <w:rPr>
          <w:rFonts w:eastAsia="Calibri"/>
          <w:kern w:val="2"/>
          <w:lang w:val="en-US" w:eastAsia="en-US"/>
          <w14:ligatures w14:val="standardContextual"/>
        </w:rPr>
        <w:t>, vol. 43, pp. 19-24, 2023.</w:t>
      </w:r>
    </w:p>
    <w:p w14:paraId="2E301733" w14:textId="3DCC3216"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[1</w:t>
      </w:r>
      <w:r w:rsidR="00C17F1E">
        <w:rPr>
          <w:rFonts w:eastAsia="Calibri"/>
          <w:kern w:val="2"/>
          <w:lang w:val="en-US" w:eastAsia="en-US"/>
          <w14:ligatures w14:val="standardContextual"/>
        </w:rPr>
        <w:t>9</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Mahmoud,</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M. O. </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H. A. Al‐Hamid, N. F. Hassan, M. R. El‐Ansary, and S. B. Gomaa, "Linagliptin Mitigates DMH‐Induced Colorectal Cancer in Rats: Crosstalk Between NFAT and IL‐6/JAK2/STAT3/NF‐</w:t>
      </w:r>
      <w:proofErr w:type="spellStart"/>
      <w:r w:rsidRPr="00B62041">
        <w:rPr>
          <w:rFonts w:eastAsia="Calibri"/>
          <w:kern w:val="2"/>
          <w:lang w:val="en-US" w:eastAsia="en-US"/>
          <w14:ligatures w14:val="standardContextual"/>
        </w:rPr>
        <w:t>κB</w:t>
      </w:r>
      <w:proofErr w:type="spellEnd"/>
      <w:r w:rsidRPr="00B62041">
        <w:rPr>
          <w:rFonts w:eastAsia="Calibri"/>
          <w:kern w:val="2"/>
          <w:lang w:val="en-US" w:eastAsia="en-US"/>
          <w14:ligatures w14:val="standardContextual"/>
        </w:rPr>
        <w:t xml:space="preserve"> Signaling Hubs," </w:t>
      </w:r>
      <w:r w:rsidRPr="0017008F">
        <w:rPr>
          <w:rFonts w:eastAsia="Calibri"/>
          <w:i/>
          <w:iCs/>
          <w:kern w:val="2"/>
          <w:lang w:val="en-US" w:eastAsia="en-US"/>
          <w14:ligatures w14:val="standardContextual"/>
        </w:rPr>
        <w:t>Journal of Biochemical and Molecular Toxicology</w:t>
      </w:r>
      <w:r w:rsidRPr="00B62041">
        <w:rPr>
          <w:rFonts w:eastAsia="Calibri"/>
          <w:kern w:val="2"/>
          <w:lang w:val="en-US" w:eastAsia="en-US"/>
          <w14:ligatures w14:val="standardContextual"/>
        </w:rPr>
        <w:t>, vol. 39, p. e70206, 2025.</w:t>
      </w:r>
    </w:p>
    <w:p w14:paraId="05F6D4E0" w14:textId="734A0F4C"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20</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proofErr w:type="spellStart"/>
      <w:r w:rsidRPr="00B62041">
        <w:rPr>
          <w:rFonts w:eastAsia="Calibri"/>
          <w:kern w:val="2"/>
          <w:lang w:val="en-US" w:eastAsia="en-US"/>
          <w14:ligatures w14:val="standardContextual"/>
        </w:rPr>
        <w:t>Nobari</w:t>
      </w:r>
      <w:proofErr w:type="spellEnd"/>
      <w:r w:rsidRPr="00B62041">
        <w:rPr>
          <w:rFonts w:eastAsia="Calibri"/>
          <w:kern w:val="2"/>
          <w:lang w:val="en-US" w:eastAsia="en-US"/>
          <w14:ligatures w14:val="standardContextual"/>
        </w:rPr>
        <w:t>,</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S. </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A. </w:t>
      </w:r>
      <w:proofErr w:type="spellStart"/>
      <w:r w:rsidRPr="00B62041">
        <w:rPr>
          <w:rFonts w:eastAsia="Calibri"/>
          <w:kern w:val="2"/>
          <w:lang w:val="en-US" w:eastAsia="en-US"/>
          <w14:ligatures w14:val="standardContextual"/>
        </w:rPr>
        <w:t>Shojaeian</w:t>
      </w:r>
      <w:proofErr w:type="spellEnd"/>
      <w:r w:rsidRPr="00B62041">
        <w:rPr>
          <w:rFonts w:eastAsia="Calibri"/>
          <w:kern w:val="2"/>
          <w:lang w:val="en-US" w:eastAsia="en-US"/>
          <w14:ligatures w14:val="standardContextual"/>
        </w:rPr>
        <w:t xml:space="preserve">, F. A. Jalilian, G. </w:t>
      </w:r>
      <w:proofErr w:type="spellStart"/>
      <w:r w:rsidRPr="00B62041">
        <w:rPr>
          <w:rFonts w:eastAsia="Calibri"/>
          <w:kern w:val="2"/>
          <w:lang w:val="en-US" w:eastAsia="en-US"/>
          <w14:ligatures w14:val="standardContextual"/>
        </w:rPr>
        <w:t>Kalvandi</w:t>
      </w:r>
      <w:proofErr w:type="spellEnd"/>
      <w:r w:rsidRPr="00B62041">
        <w:rPr>
          <w:rFonts w:eastAsia="Calibri"/>
          <w:kern w:val="2"/>
          <w:lang w:val="en-US" w:eastAsia="en-US"/>
          <w14:ligatures w14:val="standardContextual"/>
        </w:rPr>
        <w:t xml:space="preserve">, and R. Amini, "Modulation of the tumor microenvironment by </w:t>
      </w:r>
      <w:proofErr w:type="spellStart"/>
      <w:r w:rsidRPr="00B62041">
        <w:rPr>
          <w:rFonts w:eastAsia="Calibri"/>
          <w:kern w:val="2"/>
          <w:lang w:val="en-US" w:eastAsia="en-US"/>
          <w14:ligatures w14:val="standardContextual"/>
        </w:rPr>
        <w:t>zerumbone</w:t>
      </w:r>
      <w:proofErr w:type="spellEnd"/>
      <w:r w:rsidRPr="00B62041">
        <w:rPr>
          <w:rFonts w:eastAsia="Calibri"/>
          <w:kern w:val="2"/>
          <w:lang w:val="en-US" w:eastAsia="en-US"/>
          <w14:ligatures w14:val="standardContextual"/>
        </w:rPr>
        <w:t xml:space="preserve"> and 5-fluorouracil in colorectal cancer by target in cancer-associated fibroblasts," </w:t>
      </w:r>
      <w:r w:rsidRPr="0017008F">
        <w:rPr>
          <w:rFonts w:eastAsia="Calibri"/>
          <w:i/>
          <w:iCs/>
          <w:kern w:val="2"/>
          <w:lang w:val="en-US" w:eastAsia="en-US"/>
          <w14:ligatures w14:val="standardContextual"/>
        </w:rPr>
        <w:t>Discover Oncology,</w:t>
      </w:r>
      <w:r w:rsidRPr="00B62041">
        <w:rPr>
          <w:rFonts w:eastAsia="Calibri"/>
          <w:kern w:val="2"/>
          <w:lang w:val="en-US" w:eastAsia="en-US"/>
          <w14:ligatures w14:val="standardContextual"/>
        </w:rPr>
        <w:t xml:space="preserve"> vol. 16, pp. 1-12, 2025.</w:t>
      </w:r>
    </w:p>
    <w:p w14:paraId="69514494" w14:textId="41AAE5EF"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[2</w:t>
      </w:r>
      <w:r w:rsidR="00C17F1E">
        <w:rPr>
          <w:rFonts w:eastAsia="Calibri"/>
          <w:kern w:val="2"/>
          <w:lang w:val="en-US" w:eastAsia="en-US"/>
          <w14:ligatures w14:val="standardContextual"/>
        </w:rPr>
        <w:t>1</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Brecher,</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M.</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T. Monk, and L. Goodnough, "A standardized method for calculating blood loss," </w:t>
      </w:r>
      <w:r w:rsidRPr="0017008F">
        <w:rPr>
          <w:rFonts w:eastAsia="Calibri"/>
          <w:i/>
          <w:iCs/>
          <w:kern w:val="2"/>
          <w:lang w:val="en-US" w:eastAsia="en-US"/>
          <w14:ligatures w14:val="standardContextual"/>
        </w:rPr>
        <w:t>Transfusion,</w:t>
      </w:r>
      <w:r w:rsidRPr="00B62041">
        <w:rPr>
          <w:rFonts w:eastAsia="Calibri"/>
          <w:kern w:val="2"/>
          <w:lang w:val="en-US" w:eastAsia="en-US"/>
          <w14:ligatures w14:val="standardContextual"/>
        </w:rPr>
        <w:t xml:space="preserve"> vol. 37, pp. 1070-1074, 1997.</w:t>
      </w:r>
    </w:p>
    <w:p w14:paraId="6DC0CC3C" w14:textId="5F798461"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[2</w:t>
      </w:r>
      <w:r w:rsidR="00C17F1E">
        <w:rPr>
          <w:rFonts w:eastAsia="Calibri"/>
          <w:kern w:val="2"/>
          <w:lang w:val="en-US" w:eastAsia="en-US"/>
          <w14:ligatures w14:val="standardContextual"/>
        </w:rPr>
        <w:t>2</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Doig</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K. </w:t>
      </w:r>
      <w:r w:rsidRPr="00B62041">
        <w:rPr>
          <w:rFonts w:eastAsia="Calibri"/>
          <w:kern w:val="2"/>
          <w:lang w:val="en-US" w:eastAsia="en-US"/>
          <w14:ligatures w14:val="standardContextual"/>
        </w:rPr>
        <w:t xml:space="preserve"> and L. A. Thompson, "A methodical approach to interpreting the white blood cell parameters of the complete blood count," </w:t>
      </w:r>
      <w:r w:rsidRPr="0017008F">
        <w:rPr>
          <w:rFonts w:eastAsia="Calibri"/>
          <w:i/>
          <w:iCs/>
          <w:kern w:val="2"/>
          <w:lang w:val="en-US" w:eastAsia="en-US"/>
          <w14:ligatures w14:val="standardContextual"/>
        </w:rPr>
        <w:t>American Society for Clinical Laboratory Science</w:t>
      </w:r>
      <w:r w:rsidRPr="00B62041">
        <w:rPr>
          <w:rFonts w:eastAsia="Calibri"/>
          <w:kern w:val="2"/>
          <w:lang w:val="en-US" w:eastAsia="en-US"/>
          <w14:ligatures w14:val="standardContextual"/>
        </w:rPr>
        <w:t>, vol. 30, pp. 186-193, 2017.</w:t>
      </w:r>
    </w:p>
    <w:p w14:paraId="3E3F7EC3" w14:textId="6F6F0C8A"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[2</w:t>
      </w:r>
      <w:r w:rsidR="00C17F1E">
        <w:rPr>
          <w:rFonts w:eastAsia="Calibri"/>
          <w:kern w:val="2"/>
          <w:lang w:val="en-US" w:eastAsia="en-US"/>
          <w14:ligatures w14:val="standardContextual"/>
        </w:rPr>
        <w:t>3</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Los,</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B.</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B. A. Rocha, D. N. da Silva, V. M. Ribeiro, M. A. Kohara, R. A. Rodrigues, et al., "AI-driven pre-screening for colorectal cancer using </w:t>
      </w:r>
      <w:r w:rsidRPr="00B62041">
        <w:rPr>
          <w:rFonts w:eastAsia="Calibri"/>
          <w:kern w:val="2"/>
          <w:lang w:val="en-US" w:eastAsia="en-US"/>
          <w14:ligatures w14:val="standardContextual"/>
        </w:rPr>
        <w:t xml:space="preserve">complete blood counts: toward broader population impact," </w:t>
      </w:r>
      <w:r w:rsidRPr="0017008F">
        <w:rPr>
          <w:rFonts w:eastAsia="Calibri"/>
          <w:i/>
          <w:iCs/>
          <w:kern w:val="2"/>
          <w:lang w:val="en-US" w:eastAsia="en-US"/>
          <w14:ligatures w14:val="standardContextual"/>
        </w:rPr>
        <w:t>International Journal of Colorectal Disease,</w:t>
      </w:r>
      <w:r w:rsidRPr="00B62041">
        <w:rPr>
          <w:rFonts w:eastAsia="Calibri"/>
          <w:kern w:val="2"/>
          <w:lang w:val="en-US" w:eastAsia="en-US"/>
          <w14:ligatures w14:val="standardContextual"/>
        </w:rPr>
        <w:t xml:space="preserve"> vol. 40, p. 235, 2025.</w:t>
      </w:r>
    </w:p>
    <w:p w14:paraId="24EECEB7" w14:textId="7B1D9978"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24</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Valaei,</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A. </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F. Azadeh, S. T. Mostafavi Niaki, A. Salehi, M. Shakib Khoob, S. H. o. Mirebrahimi, et al., "Antioxidant and anticancer potentials of the olive and sesame mixture against dimethylhydrazine‐induced colorectal cancer in Wistar rats," </w:t>
      </w:r>
      <w:r w:rsidRPr="0017008F">
        <w:rPr>
          <w:rFonts w:eastAsia="Calibri"/>
          <w:i/>
          <w:iCs/>
          <w:kern w:val="2"/>
          <w:lang w:val="en-US" w:eastAsia="en-US"/>
          <w14:ligatures w14:val="standardContextual"/>
        </w:rPr>
        <w:t>BioMed Research International</w:t>
      </w:r>
      <w:r w:rsidRPr="00B62041">
        <w:rPr>
          <w:rFonts w:eastAsia="Calibri"/>
          <w:kern w:val="2"/>
          <w:lang w:val="en-US" w:eastAsia="en-US"/>
          <w14:ligatures w14:val="standardContextual"/>
        </w:rPr>
        <w:t>, vol. 2022, p. 5440773, 2022.</w:t>
      </w:r>
    </w:p>
    <w:p w14:paraId="787D0E14" w14:textId="783A7799"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25</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Salehi,</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A.</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S. M. Hosseini, and S. Kazemi, "Antioxidant and anticarcinogenic potentials of propolis for dimethylhydrazine‐induced colorectal cancer in Wistar rats," </w:t>
      </w:r>
      <w:r w:rsidRPr="0017008F">
        <w:rPr>
          <w:rFonts w:eastAsia="Calibri"/>
          <w:i/>
          <w:iCs/>
          <w:kern w:val="2"/>
          <w:lang w:val="en-US" w:eastAsia="en-US"/>
          <w14:ligatures w14:val="standardContextual"/>
        </w:rPr>
        <w:t>BioMed Research International,</w:t>
      </w:r>
      <w:r w:rsidRPr="00B62041">
        <w:rPr>
          <w:rFonts w:eastAsia="Calibri"/>
          <w:kern w:val="2"/>
          <w:lang w:val="en-US" w:eastAsia="en-US"/>
          <w14:ligatures w14:val="standardContextual"/>
        </w:rPr>
        <w:t xml:space="preserve"> vol. 2022, p. 8497562, 2022.</w:t>
      </w:r>
    </w:p>
    <w:p w14:paraId="70922008" w14:textId="7BF7C99F"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26</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Shakib Khoob,</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M.</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S. M. Hosseini, and S. Kazemi, "In vitro and in vivo antioxidant and anticancer potentials of royal jelly for dimethylhydrazine‐induced colorectal cancer in Wistar rats," </w:t>
      </w:r>
      <w:r w:rsidRPr="0017008F">
        <w:rPr>
          <w:rFonts w:eastAsia="Calibri"/>
          <w:i/>
          <w:iCs/>
          <w:kern w:val="2"/>
          <w:lang w:val="en-US" w:eastAsia="en-US"/>
          <w14:ligatures w14:val="standardContextual"/>
        </w:rPr>
        <w:t>Oxidative Medicine and Cellular Longevity,</w:t>
      </w:r>
      <w:r w:rsidRPr="00B62041">
        <w:rPr>
          <w:rFonts w:eastAsia="Calibri"/>
          <w:kern w:val="2"/>
          <w:lang w:val="en-US" w:eastAsia="en-US"/>
          <w14:ligatures w14:val="standardContextual"/>
        </w:rPr>
        <w:t xml:space="preserve"> vol. 2022, p. 9506026, 2022.</w:t>
      </w:r>
    </w:p>
    <w:p w14:paraId="30E3BC08" w14:textId="532D027B"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27</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Sala,</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R. J. </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J. Ery, D. Cuesta-Peredo, V. Muedra, and V. Rodilla, "Complete blood count alterations prior to the diagnosis of colorectal cancer may help in the detection of synchronous liver metastases," </w:t>
      </w:r>
      <w:r w:rsidRPr="0017008F">
        <w:rPr>
          <w:rFonts w:eastAsia="Calibri"/>
          <w:i/>
          <w:iCs/>
          <w:kern w:val="2"/>
          <w:lang w:val="en-US" w:eastAsia="en-US"/>
          <w14:ligatures w14:val="standardContextual"/>
        </w:rPr>
        <w:t>Journal of Clinical Medicine</w:t>
      </w:r>
      <w:r w:rsidRPr="00B62041">
        <w:rPr>
          <w:rFonts w:eastAsia="Calibri"/>
          <w:kern w:val="2"/>
          <w:lang w:val="en-US" w:eastAsia="en-US"/>
          <w14:ligatures w14:val="standardContextual"/>
        </w:rPr>
        <w:t>, vol. 12, p. 6540, 2023.</w:t>
      </w:r>
    </w:p>
    <w:p w14:paraId="2BB152C1" w14:textId="50EF0BCE"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28</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Gupta,</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 xml:space="preserve">A. </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A. P. Shah, and S. R. </w:t>
      </w:r>
      <w:proofErr w:type="spellStart"/>
      <w:r w:rsidRPr="00B62041">
        <w:rPr>
          <w:rFonts w:eastAsia="Calibri"/>
          <w:kern w:val="2"/>
          <w:lang w:val="en-US" w:eastAsia="en-US"/>
          <w14:ligatures w14:val="standardContextual"/>
        </w:rPr>
        <w:t>Chaphalkar</w:t>
      </w:r>
      <w:proofErr w:type="spellEnd"/>
      <w:r w:rsidRPr="00B62041">
        <w:rPr>
          <w:rFonts w:eastAsia="Calibri"/>
          <w:kern w:val="2"/>
          <w:lang w:val="en-US" w:eastAsia="en-US"/>
          <w14:ligatures w14:val="standardContextual"/>
        </w:rPr>
        <w:t xml:space="preserve">, "Flow cytometric preliminary evaluation of immunosuppressive and cytotoxic effect of Catharanthus roseus on human whole blood," </w:t>
      </w:r>
      <w:r w:rsidRPr="0017008F">
        <w:rPr>
          <w:rFonts w:eastAsia="Calibri"/>
          <w:i/>
          <w:iCs/>
          <w:kern w:val="2"/>
          <w:lang w:val="en-US" w:eastAsia="en-US"/>
          <w14:ligatures w14:val="standardContextual"/>
        </w:rPr>
        <w:t>Journal of International research in Medical and Pharmaceutical Sciences,</w:t>
      </w:r>
      <w:r w:rsidRPr="00B62041">
        <w:rPr>
          <w:rFonts w:eastAsia="Calibri"/>
          <w:kern w:val="2"/>
          <w:lang w:val="en-US" w:eastAsia="en-US"/>
          <w14:ligatures w14:val="standardContextual"/>
        </w:rPr>
        <w:t xml:space="preserve"> vol. 8, pp. 11-16, 2016.</w:t>
      </w:r>
    </w:p>
    <w:p w14:paraId="4CC07367" w14:textId="2FD1D0A1" w:rsidR="00B62041" w:rsidRPr="00B62041" w:rsidRDefault="00B62041" w:rsidP="00B62041">
      <w:pPr>
        <w:spacing w:after="160"/>
        <w:jc w:val="both"/>
        <w:rPr>
          <w:rFonts w:eastAsia="Calibri"/>
          <w:kern w:val="2"/>
          <w:lang w:val="en-US" w:eastAsia="en-US"/>
          <w14:ligatures w14:val="standardContextual"/>
        </w:rPr>
      </w:pPr>
      <w:r w:rsidRPr="00B62041">
        <w:rPr>
          <w:rFonts w:eastAsia="Calibri"/>
          <w:kern w:val="2"/>
          <w:lang w:val="en-US" w:eastAsia="en-US"/>
          <w14:ligatures w14:val="standardContextual"/>
        </w:rPr>
        <w:t>[</w:t>
      </w:r>
      <w:r w:rsidR="00C17F1E">
        <w:rPr>
          <w:rFonts w:eastAsia="Calibri"/>
          <w:kern w:val="2"/>
          <w:lang w:val="en-US" w:eastAsia="en-US"/>
          <w14:ligatures w14:val="standardContextual"/>
        </w:rPr>
        <w:t>29</w:t>
      </w:r>
      <w:r w:rsidRPr="00B62041">
        <w:rPr>
          <w:rFonts w:eastAsia="Calibri"/>
          <w:kern w:val="2"/>
          <w:lang w:val="en-US" w:eastAsia="en-US"/>
          <w14:ligatures w14:val="standardContextual"/>
        </w:rPr>
        <w:t>]</w:t>
      </w:r>
      <w:r w:rsidR="00C17F1E">
        <w:rPr>
          <w:rFonts w:eastAsia="Calibri"/>
          <w:kern w:val="2"/>
          <w:lang w:val="en-US" w:eastAsia="en-US"/>
          <w14:ligatures w14:val="standardContextual"/>
        </w:rPr>
        <w:t xml:space="preserve"> </w:t>
      </w:r>
      <w:r w:rsidRPr="00B62041">
        <w:rPr>
          <w:rFonts w:eastAsia="Calibri"/>
          <w:kern w:val="2"/>
          <w:lang w:val="en-US" w:eastAsia="en-US"/>
          <w14:ligatures w14:val="standardContextual"/>
        </w:rPr>
        <w:t>Byelinska,</w:t>
      </w:r>
      <w:r w:rsidR="00BC19A4" w:rsidRPr="00BC19A4">
        <w:rPr>
          <w:rFonts w:eastAsia="Calibri"/>
          <w:kern w:val="2"/>
          <w:lang w:val="en-US" w:eastAsia="en-US"/>
          <w14:ligatures w14:val="standardContextual"/>
        </w:rPr>
        <w:t xml:space="preserve"> </w:t>
      </w:r>
      <w:r w:rsidR="00BC19A4" w:rsidRPr="00B62041">
        <w:rPr>
          <w:rFonts w:eastAsia="Calibri"/>
          <w:kern w:val="2"/>
          <w:lang w:val="en-US" w:eastAsia="en-US"/>
          <w14:ligatures w14:val="standardContextual"/>
        </w:rPr>
        <w:t>I.</w:t>
      </w:r>
      <w:r w:rsidR="00BC19A4">
        <w:rPr>
          <w:rFonts w:eastAsia="Calibri"/>
          <w:kern w:val="2"/>
          <w:lang w:val="en-US" w:eastAsia="en-US"/>
          <w14:ligatures w14:val="standardContextual"/>
        </w:rPr>
        <w:t xml:space="preserve">   </w:t>
      </w:r>
      <w:r w:rsidRPr="00B62041">
        <w:rPr>
          <w:rFonts w:eastAsia="Calibri"/>
          <w:kern w:val="2"/>
          <w:lang w:val="en-US" w:eastAsia="en-US"/>
          <w14:ligatures w14:val="standardContextual"/>
        </w:rPr>
        <w:t xml:space="preserve"> O. </w:t>
      </w:r>
      <w:proofErr w:type="spellStart"/>
      <w:r w:rsidRPr="00B62041">
        <w:rPr>
          <w:rFonts w:eastAsia="Calibri"/>
          <w:kern w:val="2"/>
          <w:lang w:val="en-US" w:eastAsia="en-US"/>
          <w14:ligatures w14:val="standardContextual"/>
        </w:rPr>
        <w:t>Lynchak</w:t>
      </w:r>
      <w:proofErr w:type="spellEnd"/>
      <w:r w:rsidRPr="00B62041">
        <w:rPr>
          <w:rFonts w:eastAsia="Calibri"/>
          <w:kern w:val="2"/>
          <w:lang w:val="en-US" w:eastAsia="en-US"/>
          <w14:ligatures w14:val="standardContextual"/>
        </w:rPr>
        <w:t xml:space="preserve">, T. Rybalchenko, S. </w:t>
      </w:r>
      <w:proofErr w:type="spellStart"/>
      <w:r w:rsidRPr="00B62041">
        <w:rPr>
          <w:rFonts w:eastAsia="Calibri"/>
          <w:kern w:val="2"/>
          <w:lang w:val="en-US" w:eastAsia="en-US"/>
          <w14:ligatures w14:val="standardContextual"/>
        </w:rPr>
        <w:t>Yablonska</w:t>
      </w:r>
      <w:proofErr w:type="spellEnd"/>
      <w:r w:rsidRPr="00B62041">
        <w:rPr>
          <w:rFonts w:eastAsia="Calibri"/>
          <w:kern w:val="2"/>
          <w:lang w:val="en-US" w:eastAsia="en-US"/>
          <w14:ligatures w14:val="standardContextual"/>
        </w:rPr>
        <w:t xml:space="preserve">, O. </w:t>
      </w:r>
      <w:proofErr w:type="spellStart"/>
      <w:r w:rsidRPr="00B62041">
        <w:rPr>
          <w:rFonts w:eastAsia="Calibri"/>
          <w:kern w:val="2"/>
          <w:lang w:val="en-US" w:eastAsia="en-US"/>
          <w14:ligatures w14:val="standardContextual"/>
        </w:rPr>
        <w:t>Bahurynska</w:t>
      </w:r>
      <w:proofErr w:type="spellEnd"/>
      <w:r w:rsidRPr="00B62041">
        <w:rPr>
          <w:rFonts w:eastAsia="Calibri"/>
          <w:kern w:val="2"/>
          <w:lang w:val="en-US" w:eastAsia="en-US"/>
          <w14:ligatures w14:val="standardContextual"/>
        </w:rPr>
        <w:t xml:space="preserve">, and V. Rybalchenko, "Morphofunctional parameters of blood cells of a rat with 1, 2-dimethylhydrazine-induced colon carcinogenesis," </w:t>
      </w:r>
      <w:r w:rsidRPr="0017008F">
        <w:rPr>
          <w:rFonts w:eastAsia="Calibri"/>
          <w:i/>
          <w:iCs/>
          <w:kern w:val="2"/>
          <w:lang w:val="en-US" w:eastAsia="en-US"/>
          <w14:ligatures w14:val="standardContextual"/>
        </w:rPr>
        <w:t>Cytology and Genetics</w:t>
      </w:r>
      <w:r w:rsidRPr="00B62041">
        <w:rPr>
          <w:rFonts w:eastAsia="Calibri"/>
          <w:kern w:val="2"/>
          <w:lang w:val="en-US" w:eastAsia="en-US"/>
          <w14:ligatures w14:val="standardContextual"/>
        </w:rPr>
        <w:t>, vol. 49, pp. 158-164, 2015.</w:t>
      </w:r>
    </w:p>
    <w:p w14:paraId="0E182697" w14:textId="77777777" w:rsidR="00B62041" w:rsidRPr="00B62041" w:rsidRDefault="00B62041" w:rsidP="00B62041">
      <w:pPr>
        <w:spacing w:after="160"/>
        <w:jc w:val="both"/>
        <w:rPr>
          <w:rFonts w:eastAsia="Calibri"/>
          <w:kern w:val="2"/>
          <w:lang w:val="en-US" w:eastAsia="en-US"/>
          <w14:ligatures w14:val="standardContextual"/>
        </w:rPr>
      </w:pPr>
    </w:p>
    <w:p w14:paraId="4F8D1F1C" w14:textId="77777777" w:rsidR="00B62041" w:rsidRPr="00B62041" w:rsidRDefault="00B62041" w:rsidP="00B62041">
      <w:pPr>
        <w:spacing w:after="160"/>
        <w:jc w:val="both"/>
        <w:rPr>
          <w:rFonts w:eastAsia="Calibri"/>
          <w:kern w:val="2"/>
          <w:lang w:val="en-US" w:eastAsia="en-US"/>
          <w14:ligatures w14:val="standardContextual"/>
        </w:rPr>
      </w:pPr>
    </w:p>
    <w:p w14:paraId="77A45E35" w14:textId="7F4EB5A7" w:rsidR="00B62041" w:rsidRPr="00B62041" w:rsidRDefault="00B62041" w:rsidP="00B62041">
      <w:pPr>
        <w:spacing w:after="160"/>
        <w:jc w:val="both"/>
        <w:rPr>
          <w:rFonts w:eastAsia="Calibri"/>
          <w:kern w:val="2"/>
          <w:lang w:val="en-US" w:eastAsia="en-US"/>
          <w14:ligatures w14:val="standardContextual"/>
        </w:rPr>
      </w:pPr>
    </w:p>
    <w:p w14:paraId="77BF1C40" w14:textId="77777777" w:rsidR="00B62041" w:rsidRPr="00B62041" w:rsidRDefault="00B62041" w:rsidP="00B62041">
      <w:pPr>
        <w:spacing w:after="160"/>
        <w:jc w:val="both"/>
        <w:rPr>
          <w:rFonts w:eastAsia="Calibri"/>
          <w:kern w:val="2"/>
          <w:lang w:val="en-US" w:eastAsia="en-US"/>
          <w14:ligatures w14:val="standardContextual"/>
        </w:rPr>
      </w:pPr>
    </w:p>
    <w:p w14:paraId="79ABACF8" w14:textId="77777777" w:rsidR="00B62041" w:rsidRPr="00B62041" w:rsidRDefault="00B62041" w:rsidP="00B62041">
      <w:pPr>
        <w:spacing w:after="160"/>
        <w:jc w:val="both"/>
        <w:rPr>
          <w:rFonts w:eastAsia="Calibri"/>
          <w:kern w:val="2"/>
          <w:lang w:val="en-US" w:eastAsia="en-US"/>
          <w14:ligatures w14:val="standardContextual"/>
        </w:rPr>
      </w:pPr>
    </w:p>
    <w:p w14:paraId="0EB8E284" w14:textId="4A17B1AF" w:rsidR="005B695D" w:rsidRPr="00B62041" w:rsidRDefault="005B695D" w:rsidP="008A00E3">
      <w:pPr>
        <w:pStyle w:val="NoParagraphStyle"/>
        <w:suppressAutoHyphens/>
        <w:spacing w:after="142" w:line="240" w:lineRule="auto"/>
        <w:jc w:val="both"/>
        <w:rPr>
          <w:spacing w:val="2"/>
          <w:sz w:val="20"/>
          <w:szCs w:val="20"/>
        </w:rPr>
        <w:sectPr w:rsidR="005B695D" w:rsidRPr="00B62041" w:rsidSect="009C4A5F">
          <w:pgSz w:w="11906" w:h="16838" w:code="9"/>
          <w:pgMar w:top="1418" w:right="1418" w:bottom="1418" w:left="1418" w:header="964" w:footer="964" w:gutter="0"/>
          <w:cols w:num="2" w:space="852"/>
          <w:titlePg/>
        </w:sectPr>
      </w:pPr>
    </w:p>
    <w:p w14:paraId="682ABC76" w14:textId="37DDCB44" w:rsidR="00334BD6" w:rsidRPr="00F102DD" w:rsidRDefault="00334BD6" w:rsidP="003B735A">
      <w:pPr>
        <w:pStyle w:val="EndnoteText"/>
        <w:bidi/>
        <w:rPr>
          <w:b/>
          <w:bCs/>
          <w:color w:val="FF0000"/>
          <w:rtl/>
          <w:lang w:val="en-US" w:bidi="ar-EG"/>
        </w:rPr>
      </w:pPr>
    </w:p>
    <w:p w14:paraId="651D280D" w14:textId="77777777" w:rsidR="00334BD6" w:rsidRDefault="00334BD6" w:rsidP="003B735A">
      <w:pPr>
        <w:pStyle w:val="Normalwrd4"/>
        <w:bidi/>
        <w:spacing w:after="0"/>
        <w:jc w:val="both"/>
        <w:rPr>
          <w:rStyle w:val="jlqj4bwrd1"/>
          <w:b/>
          <w:bCs/>
          <w:lang w:bidi="ar-EG"/>
        </w:rPr>
      </w:pPr>
    </w:p>
    <w:p w14:paraId="7A744E94" w14:textId="77777777" w:rsidR="00C17F1E" w:rsidRDefault="00C17F1E" w:rsidP="0073350C">
      <w:pPr>
        <w:pStyle w:val="Normalwrd4"/>
        <w:tabs>
          <w:tab w:val="left" w:pos="5152"/>
        </w:tabs>
        <w:bidi/>
        <w:spacing w:after="0"/>
        <w:jc w:val="both"/>
        <w:rPr>
          <w:b/>
          <w:bCs/>
          <w:lang w:val="en-GB"/>
        </w:rPr>
      </w:pPr>
    </w:p>
    <w:p w14:paraId="62D6C6B3" w14:textId="77777777" w:rsidR="00C17F1E" w:rsidRDefault="00C17F1E" w:rsidP="00C17F1E">
      <w:pPr>
        <w:pStyle w:val="Normalwrd4"/>
        <w:tabs>
          <w:tab w:val="left" w:pos="5152"/>
        </w:tabs>
        <w:bidi/>
        <w:spacing w:after="0"/>
        <w:jc w:val="both"/>
        <w:rPr>
          <w:b/>
          <w:bCs/>
          <w:lang w:val="en-GB"/>
        </w:rPr>
      </w:pPr>
    </w:p>
    <w:p w14:paraId="45757434" w14:textId="77777777" w:rsidR="00C17F1E" w:rsidRDefault="00C17F1E" w:rsidP="00C17F1E">
      <w:pPr>
        <w:pStyle w:val="Normalwrd4"/>
        <w:tabs>
          <w:tab w:val="left" w:pos="5152"/>
        </w:tabs>
        <w:bidi/>
        <w:spacing w:after="0"/>
        <w:jc w:val="both"/>
        <w:rPr>
          <w:b/>
          <w:bCs/>
          <w:lang w:val="en-GB"/>
        </w:rPr>
      </w:pPr>
    </w:p>
    <w:p w14:paraId="72E1D9BE" w14:textId="5CBB7994" w:rsidR="00A81F25" w:rsidRDefault="0073350C" w:rsidP="00C17F1E">
      <w:pPr>
        <w:pStyle w:val="Normalwrd4"/>
        <w:tabs>
          <w:tab w:val="left" w:pos="5152"/>
        </w:tabs>
        <w:bidi/>
        <w:spacing w:after="0"/>
        <w:jc w:val="both"/>
        <w:rPr>
          <w:b/>
          <w:bCs/>
          <w:rtl/>
        </w:rPr>
      </w:pPr>
      <w:r w:rsidRPr="0073350C">
        <w:rPr>
          <w:b/>
          <w:bCs/>
          <w:lang w:val="en-GB"/>
        </w:rPr>
        <w:lastRenderedPageBreak/>
        <w:br/>
      </w:r>
      <w:r w:rsidRPr="0073350C">
        <w:rPr>
          <w:b/>
          <w:bCs/>
          <w:rtl/>
        </w:rPr>
        <w:t xml:space="preserve">تقييم السلامة الدموية لمستخلص أوراق نبات الفينكا </w:t>
      </w:r>
      <w:r w:rsidR="00AF4CFD">
        <w:rPr>
          <w:rFonts w:hint="cs"/>
          <w:b/>
          <w:bCs/>
          <w:rtl/>
        </w:rPr>
        <w:t>روزياس</w:t>
      </w:r>
      <w:r w:rsidRPr="0073350C">
        <w:rPr>
          <w:b/>
          <w:bCs/>
          <w:rtl/>
        </w:rPr>
        <w:t xml:space="preserve"> في سرطان القولون والمستقيم المُستحث بواسطة</w:t>
      </w:r>
      <w:r>
        <w:rPr>
          <w:rFonts w:hint="cs"/>
          <w:b/>
          <w:bCs/>
          <w:rtl/>
        </w:rPr>
        <w:t xml:space="preserve"> </w:t>
      </w:r>
      <w:r>
        <w:rPr>
          <w:rFonts w:hint="cs"/>
          <w:b/>
          <w:bCs/>
          <w:rtl/>
          <w:lang w:val="en-GB" w:bidi="ar-EG"/>
        </w:rPr>
        <w:t>داي ميثيل هيدرازين</w:t>
      </w:r>
      <w:r w:rsidRPr="0073350C">
        <w:rPr>
          <w:b/>
          <w:bCs/>
          <w:lang w:val="en-GB"/>
        </w:rPr>
        <w:t xml:space="preserve"> </w:t>
      </w:r>
      <w:r w:rsidRPr="0073350C">
        <w:rPr>
          <w:b/>
          <w:bCs/>
          <w:rtl/>
        </w:rPr>
        <w:t>في الفئران</w:t>
      </w:r>
    </w:p>
    <w:p w14:paraId="06603AA0" w14:textId="77777777" w:rsidR="00A81F25" w:rsidRDefault="00A81F25" w:rsidP="00A81F25">
      <w:pPr>
        <w:pStyle w:val="Normalwrd4"/>
        <w:tabs>
          <w:tab w:val="left" w:pos="5152"/>
        </w:tabs>
        <w:bidi/>
        <w:spacing w:after="0"/>
        <w:jc w:val="both"/>
        <w:rPr>
          <w:b/>
          <w:bCs/>
          <w:rtl/>
        </w:rPr>
      </w:pPr>
    </w:p>
    <w:p w14:paraId="08B3559F" w14:textId="4E04181F" w:rsidR="00A81F25" w:rsidRDefault="00A81F25" w:rsidP="00DA518B">
      <w:pPr>
        <w:pStyle w:val="Els-reference"/>
        <w:bidi/>
        <w:spacing w:before="120" w:line="240" w:lineRule="auto"/>
        <w:ind w:left="0" w:firstLine="0"/>
        <w:rPr>
          <w:rFonts w:asciiTheme="majorBidi" w:hAnsiTheme="majorBidi" w:cstheme="majorBidi"/>
          <w:sz w:val="18"/>
          <w:szCs w:val="18"/>
          <w:rtl/>
          <w:lang w:val="en-US" w:bidi="ar-EG"/>
        </w:rPr>
      </w:pPr>
      <w:r>
        <w:rPr>
          <w:rFonts w:asciiTheme="majorBidi" w:hAnsiTheme="majorBidi" w:cstheme="majorBidi" w:hint="cs"/>
          <w:sz w:val="18"/>
          <w:szCs w:val="18"/>
          <w:rtl/>
          <w:lang w:val="en-US" w:bidi="ar-EG"/>
        </w:rPr>
        <w:t>ياسمين عبدالنبي رمضان عبدالخالق</w:t>
      </w:r>
      <w:r w:rsidRPr="00CD4705">
        <w:rPr>
          <w:rFonts w:asciiTheme="majorBidi" w:hAnsiTheme="majorBidi" w:cstheme="majorBidi" w:hint="cs"/>
          <w:sz w:val="18"/>
          <w:szCs w:val="18"/>
          <w:vertAlign w:val="superscript"/>
          <w:rtl/>
          <w:lang w:val="en-US" w:bidi="ar-EG"/>
        </w:rPr>
        <w:t>1*</w:t>
      </w:r>
      <w:r>
        <w:rPr>
          <w:rFonts w:asciiTheme="majorBidi" w:hAnsiTheme="majorBidi" w:cstheme="majorBidi" w:hint="cs"/>
          <w:sz w:val="18"/>
          <w:szCs w:val="18"/>
          <w:rtl/>
          <w:lang w:val="en-US" w:bidi="ar-EG"/>
        </w:rPr>
        <w:t xml:space="preserve"> </w:t>
      </w:r>
      <w:r w:rsidR="00942A48">
        <w:rPr>
          <w:rFonts w:asciiTheme="majorBidi" w:hAnsiTheme="majorBidi" w:cstheme="majorBidi" w:hint="cs"/>
          <w:sz w:val="18"/>
          <w:szCs w:val="18"/>
          <w:rtl/>
          <w:lang w:val="en-US" w:bidi="ar-EG"/>
        </w:rPr>
        <w:t>،</w:t>
      </w:r>
      <w:r w:rsidR="00DA518B" w:rsidRPr="00DA518B">
        <w:rPr>
          <w:rFonts w:asciiTheme="majorBidi" w:hAnsiTheme="majorBidi" w:cstheme="majorBidi" w:hint="cs"/>
          <w:sz w:val="18"/>
          <w:szCs w:val="18"/>
          <w:rtl/>
          <w:lang w:val="en-US" w:bidi="ar-EG"/>
        </w:rPr>
        <w:t xml:space="preserve"> </w:t>
      </w:r>
      <w:r w:rsidR="00DA518B">
        <w:rPr>
          <w:rFonts w:asciiTheme="majorBidi" w:hAnsiTheme="majorBidi" w:cstheme="majorBidi" w:hint="cs"/>
          <w:sz w:val="18"/>
          <w:szCs w:val="18"/>
          <w:rtl/>
          <w:lang w:val="en-US" w:bidi="ar-EG"/>
        </w:rPr>
        <w:t>ياسمين أوسامه زهران</w:t>
      </w:r>
      <w:r w:rsidR="00DA518B">
        <w:rPr>
          <w:rFonts w:asciiTheme="majorBidi" w:hAnsiTheme="majorBidi" w:cstheme="majorBidi" w:hint="cs"/>
          <w:sz w:val="18"/>
          <w:szCs w:val="18"/>
          <w:vertAlign w:val="superscript"/>
          <w:rtl/>
          <w:lang w:val="en-US" w:bidi="ar-EG"/>
        </w:rPr>
        <w:t>1</w:t>
      </w:r>
      <w:r>
        <w:rPr>
          <w:rFonts w:asciiTheme="majorBidi" w:hAnsiTheme="majorBidi" w:cstheme="majorBidi" w:hint="cs"/>
          <w:sz w:val="18"/>
          <w:szCs w:val="18"/>
          <w:rtl/>
          <w:lang w:val="en-US" w:bidi="ar-EG"/>
        </w:rPr>
        <w:t xml:space="preserve"> </w:t>
      </w:r>
      <w:r w:rsidR="00DA518B">
        <w:rPr>
          <w:rFonts w:asciiTheme="majorBidi" w:hAnsiTheme="majorBidi" w:cstheme="majorBidi" w:hint="cs"/>
          <w:sz w:val="18"/>
          <w:szCs w:val="18"/>
          <w:rtl/>
          <w:lang w:val="en-US" w:bidi="ar-EG"/>
        </w:rPr>
        <w:t>عزيزة عبدالفتاح أمين</w:t>
      </w:r>
      <w:r w:rsidR="00DA518B">
        <w:rPr>
          <w:rFonts w:asciiTheme="majorBidi" w:hAnsiTheme="majorBidi" w:cstheme="majorBidi" w:hint="cs"/>
          <w:sz w:val="18"/>
          <w:szCs w:val="18"/>
          <w:vertAlign w:val="superscript"/>
          <w:rtl/>
          <w:lang w:val="en-US" w:bidi="ar-EG"/>
        </w:rPr>
        <w:t>2</w:t>
      </w:r>
      <w:r w:rsidR="00DA518B">
        <w:rPr>
          <w:rFonts w:asciiTheme="majorBidi" w:hAnsiTheme="majorBidi" w:cstheme="majorBidi" w:hint="cs"/>
          <w:sz w:val="18"/>
          <w:szCs w:val="18"/>
          <w:rtl/>
          <w:lang w:val="en-US" w:bidi="ar-EG"/>
        </w:rPr>
        <w:t xml:space="preserve"> </w:t>
      </w:r>
      <w:r w:rsidR="00DA518B">
        <w:rPr>
          <w:rFonts w:asciiTheme="majorBidi" w:hAnsiTheme="majorBidi" w:cstheme="majorBidi" w:hint="cs"/>
          <w:sz w:val="18"/>
          <w:szCs w:val="18"/>
          <w:rtl/>
          <w:lang w:val="en-US" w:bidi="ar-EG"/>
        </w:rPr>
        <w:t xml:space="preserve">, </w:t>
      </w:r>
      <w:r w:rsidR="00DA518B">
        <w:rPr>
          <w:rFonts w:asciiTheme="majorBidi" w:hAnsiTheme="majorBidi" w:cstheme="majorBidi" w:hint="cs"/>
          <w:sz w:val="18"/>
          <w:szCs w:val="18"/>
          <w:rtl/>
          <w:lang w:val="en-US" w:bidi="ar-EG"/>
        </w:rPr>
        <w:t xml:space="preserve">أبو بكر محمد المحمودي </w:t>
      </w:r>
      <w:r w:rsidR="00DA518B">
        <w:rPr>
          <w:rFonts w:asciiTheme="majorBidi" w:hAnsiTheme="majorBidi" w:cstheme="majorBidi" w:hint="cs"/>
          <w:sz w:val="18"/>
          <w:szCs w:val="18"/>
          <w:vertAlign w:val="superscript"/>
          <w:rtl/>
          <w:lang w:val="en-US" w:bidi="ar-EG"/>
        </w:rPr>
        <w:t>1</w:t>
      </w:r>
      <w:r w:rsidR="00DA518B">
        <w:rPr>
          <w:rFonts w:asciiTheme="majorBidi" w:hAnsiTheme="majorBidi" w:cstheme="majorBidi" w:hint="cs"/>
          <w:sz w:val="18"/>
          <w:szCs w:val="18"/>
          <w:rtl/>
          <w:lang w:val="en-US" w:bidi="ar-EG"/>
        </w:rPr>
        <w:t xml:space="preserve">, </w:t>
      </w:r>
      <w:r w:rsidR="00DA518B">
        <w:rPr>
          <w:rFonts w:asciiTheme="majorBidi" w:hAnsiTheme="majorBidi" w:cstheme="majorBidi" w:hint="cs"/>
          <w:sz w:val="18"/>
          <w:szCs w:val="18"/>
          <w:rtl/>
          <w:lang w:val="en-US" w:bidi="ar-EG"/>
        </w:rPr>
        <w:t>فاطمة</w:t>
      </w:r>
      <w:r w:rsidR="00DA518B">
        <w:rPr>
          <w:rFonts w:asciiTheme="majorBidi" w:hAnsiTheme="majorBidi" w:cstheme="majorBidi" w:hint="cs"/>
          <w:sz w:val="18"/>
          <w:szCs w:val="18"/>
          <w:rtl/>
          <w:lang w:val="en-US" w:bidi="ar-EG"/>
        </w:rPr>
        <w:t xml:space="preserve"> عيد موسي </w:t>
      </w:r>
      <w:r w:rsidR="00DA518B">
        <w:rPr>
          <w:rFonts w:asciiTheme="majorBidi" w:hAnsiTheme="majorBidi" w:cstheme="majorBidi" w:hint="cs"/>
          <w:sz w:val="18"/>
          <w:szCs w:val="18"/>
          <w:rtl/>
          <w:lang w:val="en-US" w:bidi="ar-EG"/>
        </w:rPr>
        <w:t xml:space="preserve"> الجندي</w:t>
      </w:r>
      <w:r w:rsidR="00DA518B" w:rsidRPr="00DA518B">
        <w:rPr>
          <w:rFonts w:asciiTheme="majorBidi" w:hAnsiTheme="majorBidi" w:cstheme="majorBidi" w:hint="cs"/>
          <w:sz w:val="18"/>
          <w:szCs w:val="18"/>
          <w:vertAlign w:val="superscript"/>
          <w:rtl/>
          <w:lang w:val="en-US" w:bidi="ar-EG"/>
        </w:rPr>
        <w:t>3</w:t>
      </w:r>
      <w:r w:rsidR="00DA518B">
        <w:rPr>
          <w:rFonts w:asciiTheme="majorBidi" w:hAnsiTheme="majorBidi" w:cstheme="majorBidi" w:hint="cs"/>
          <w:sz w:val="18"/>
          <w:szCs w:val="18"/>
          <w:rtl/>
          <w:lang w:val="en-US" w:bidi="ar-EG"/>
        </w:rPr>
        <w:t xml:space="preserve"> </w:t>
      </w:r>
    </w:p>
    <w:p w14:paraId="62E871C0" w14:textId="7A50FF1D" w:rsidR="00A81F25" w:rsidRPr="009C4A5F" w:rsidRDefault="00942A48" w:rsidP="00A81F25">
      <w:pPr>
        <w:pStyle w:val="Els-reference"/>
        <w:bidi/>
        <w:spacing w:before="120" w:line="240" w:lineRule="auto"/>
        <w:ind w:left="0" w:firstLine="0"/>
        <w:rPr>
          <w:rFonts w:asciiTheme="majorBidi" w:hAnsiTheme="majorBidi" w:cstheme="majorBidi"/>
          <w:sz w:val="18"/>
          <w:szCs w:val="18"/>
          <w:rtl/>
          <w:lang w:val="en-US" w:bidi="ar-EG"/>
        </w:rPr>
      </w:pPr>
      <w:r>
        <w:rPr>
          <w:rFonts w:asciiTheme="majorBidi" w:hAnsiTheme="majorBidi" w:cstheme="majorBidi" w:hint="cs"/>
          <w:sz w:val="18"/>
          <w:szCs w:val="18"/>
          <w:rtl/>
          <w:lang w:val="en-US" w:bidi="ar-EG"/>
        </w:rPr>
        <w:t>1</w:t>
      </w:r>
      <w:r w:rsidR="00A81F25">
        <w:rPr>
          <w:rFonts w:asciiTheme="majorBidi" w:hAnsiTheme="majorBidi" w:cstheme="majorBidi" w:hint="cs"/>
          <w:sz w:val="18"/>
          <w:szCs w:val="18"/>
          <w:rtl/>
          <w:lang w:val="en-US" w:bidi="ar-EG"/>
        </w:rPr>
        <w:t xml:space="preserve"> : قسم </w:t>
      </w:r>
      <w:r>
        <w:rPr>
          <w:rFonts w:asciiTheme="majorBidi" w:hAnsiTheme="majorBidi" w:cstheme="majorBidi" w:hint="cs"/>
          <w:sz w:val="18"/>
          <w:szCs w:val="18"/>
          <w:rtl/>
          <w:lang w:val="en-US" w:bidi="ar-EG"/>
        </w:rPr>
        <w:t>الفارماكولوجيا</w:t>
      </w:r>
      <w:r w:rsidR="00A81F25">
        <w:rPr>
          <w:rFonts w:asciiTheme="majorBidi" w:hAnsiTheme="majorBidi" w:cstheme="majorBidi" w:hint="cs"/>
          <w:sz w:val="18"/>
          <w:szCs w:val="18"/>
          <w:rtl/>
          <w:lang w:val="en-US" w:bidi="ar-EG"/>
        </w:rPr>
        <w:t xml:space="preserve"> ، كلية الطب البيطري ، جامعة بنها، مشتهر 13736، مصر </w:t>
      </w:r>
    </w:p>
    <w:p w14:paraId="0A60CD69" w14:textId="04BA4E45" w:rsidR="00A81F25" w:rsidRDefault="00942A48" w:rsidP="00A81F25">
      <w:pPr>
        <w:pStyle w:val="Els-reference"/>
        <w:bidi/>
        <w:spacing w:before="120" w:line="240" w:lineRule="auto"/>
        <w:ind w:left="0" w:firstLine="0"/>
        <w:rPr>
          <w:rFonts w:asciiTheme="majorBidi" w:hAnsiTheme="majorBidi" w:cstheme="majorBidi"/>
          <w:sz w:val="18"/>
          <w:szCs w:val="18"/>
          <w:rtl/>
          <w:lang w:val="en-US" w:bidi="ar-EG"/>
        </w:rPr>
      </w:pPr>
      <w:r>
        <w:rPr>
          <w:rFonts w:asciiTheme="majorBidi" w:hAnsiTheme="majorBidi" w:cstheme="majorBidi" w:hint="cs"/>
          <w:sz w:val="18"/>
          <w:szCs w:val="18"/>
          <w:rtl/>
          <w:lang w:val="en-US" w:bidi="ar-EG"/>
        </w:rPr>
        <w:t>2</w:t>
      </w:r>
      <w:r w:rsidR="00A81F25">
        <w:rPr>
          <w:rFonts w:asciiTheme="majorBidi" w:hAnsiTheme="majorBidi" w:cstheme="majorBidi" w:hint="cs"/>
          <w:sz w:val="18"/>
          <w:szCs w:val="18"/>
          <w:rtl/>
          <w:lang w:val="en-US" w:bidi="ar-EG"/>
        </w:rPr>
        <w:t xml:space="preserve"> : قسم الباثولوجيا ، كلية الطب البيطري ، جامعة بنها، مشتهر 13736، مصر </w:t>
      </w:r>
    </w:p>
    <w:p w14:paraId="3F49B68B" w14:textId="53BC7071" w:rsidR="00A81F25" w:rsidRDefault="00942A48" w:rsidP="00A81F25">
      <w:pPr>
        <w:pStyle w:val="Els-reference"/>
        <w:bidi/>
        <w:spacing w:before="120" w:line="240" w:lineRule="auto"/>
        <w:ind w:left="0" w:firstLine="0"/>
        <w:rPr>
          <w:rFonts w:asciiTheme="majorBidi" w:hAnsiTheme="majorBidi" w:cstheme="majorBidi"/>
          <w:sz w:val="18"/>
          <w:szCs w:val="18"/>
          <w:rtl/>
          <w:lang w:val="en-US" w:bidi="ar-EG"/>
        </w:rPr>
      </w:pPr>
      <w:r>
        <w:rPr>
          <w:rFonts w:asciiTheme="majorBidi" w:hAnsiTheme="majorBidi" w:cstheme="majorBidi" w:hint="cs"/>
          <w:sz w:val="18"/>
          <w:szCs w:val="18"/>
          <w:rtl/>
          <w:lang w:val="en-US" w:bidi="ar-EG"/>
        </w:rPr>
        <w:t>3</w:t>
      </w:r>
      <w:r w:rsidR="00A81F25">
        <w:rPr>
          <w:rFonts w:asciiTheme="majorBidi" w:hAnsiTheme="majorBidi" w:cstheme="majorBidi" w:hint="cs"/>
          <w:sz w:val="18"/>
          <w:szCs w:val="18"/>
          <w:rtl/>
          <w:lang w:val="en-US" w:bidi="ar-EG"/>
        </w:rPr>
        <w:t xml:space="preserve"> : قسم </w:t>
      </w:r>
      <w:r w:rsidR="00A81F25" w:rsidRPr="00A81F25">
        <w:rPr>
          <w:rFonts w:asciiTheme="majorBidi" w:hAnsiTheme="majorBidi"/>
          <w:sz w:val="18"/>
          <w:szCs w:val="18"/>
          <w:rtl/>
          <w:lang w:val="en-US" w:bidi="ar-EG"/>
        </w:rPr>
        <w:t>علم الوراثة والهندسة الوراثية، تنمية الثروة الحيوانية</w:t>
      </w:r>
      <w:r w:rsidR="00A81F25" w:rsidRPr="00A81F25">
        <w:rPr>
          <w:rFonts w:asciiTheme="majorBidi" w:hAnsiTheme="majorBidi" w:hint="cs"/>
          <w:sz w:val="18"/>
          <w:szCs w:val="18"/>
          <w:rtl/>
          <w:lang w:val="en-US" w:bidi="ar-EG"/>
        </w:rPr>
        <w:t xml:space="preserve"> </w:t>
      </w:r>
      <w:r w:rsidR="00A81F25">
        <w:rPr>
          <w:rFonts w:asciiTheme="majorBidi" w:hAnsiTheme="majorBidi" w:cstheme="majorBidi" w:hint="cs"/>
          <w:sz w:val="18"/>
          <w:szCs w:val="18"/>
          <w:rtl/>
          <w:lang w:val="en-US" w:bidi="ar-EG"/>
        </w:rPr>
        <w:t xml:space="preserve">، كلية الطب البيطري ، جامعة بنها، مشتهر 13736، مصر </w:t>
      </w:r>
    </w:p>
    <w:p w14:paraId="7A196A58" w14:textId="17034103" w:rsidR="005E7F6E" w:rsidRPr="005E7F6E" w:rsidRDefault="005B695D" w:rsidP="00A81F25">
      <w:pPr>
        <w:pStyle w:val="Normalwrd4"/>
        <w:tabs>
          <w:tab w:val="left" w:pos="5152"/>
        </w:tabs>
        <w:bidi/>
        <w:spacing w:after="0"/>
        <w:jc w:val="both"/>
        <w:rPr>
          <w:rFonts w:ascii="Courier New" w:hAnsi="Courier New" w:cs="Courier New"/>
        </w:rPr>
      </w:pPr>
      <w:r>
        <w:rPr>
          <w:rFonts w:ascii="Courier New" w:hAnsi="Courier New" w:cs="Courier New"/>
          <w:rtl/>
        </w:rPr>
        <w:tab/>
      </w:r>
    </w:p>
    <w:p w14:paraId="1B099912" w14:textId="4491AFB4" w:rsidR="009C4A5F" w:rsidRPr="00A81F25" w:rsidRDefault="009C4A5F" w:rsidP="001557C8">
      <w:pPr>
        <w:pStyle w:val="Normalwrd4"/>
        <w:bidi/>
        <w:spacing w:after="0"/>
        <w:jc w:val="both"/>
        <w:rPr>
          <w:rStyle w:val="y2iqfc"/>
          <w:rFonts w:asciiTheme="majorBidi" w:hAnsiTheme="majorBidi" w:cstheme="majorBidi"/>
          <w:b/>
          <w:bCs/>
          <w:color w:val="1F1F1F"/>
          <w:sz w:val="18"/>
          <w:szCs w:val="18"/>
          <w:rtl/>
          <w:lang w:bidi="ar"/>
        </w:rPr>
      </w:pPr>
      <w:r w:rsidRPr="00A81F25">
        <w:rPr>
          <w:rStyle w:val="y2iqfc"/>
          <w:rFonts w:asciiTheme="majorBidi" w:hAnsiTheme="majorBidi" w:cstheme="majorBidi"/>
          <w:b/>
          <w:bCs/>
          <w:color w:val="1F1F1F"/>
          <w:sz w:val="18"/>
          <w:szCs w:val="18"/>
          <w:rtl/>
          <w:lang w:bidi="ar"/>
        </w:rPr>
        <w:t>ملخص</w:t>
      </w:r>
    </w:p>
    <w:p w14:paraId="5A41F7CB" w14:textId="63223C62" w:rsidR="009C4A5F" w:rsidRPr="009C4A5F" w:rsidRDefault="009C4A5F" w:rsidP="009C4A5F">
      <w:pPr>
        <w:pStyle w:val="HTMLPreformatted"/>
        <w:shd w:val="clear" w:color="auto" w:fill="F8F9FA"/>
        <w:bidi/>
        <w:jc w:val="both"/>
        <w:rPr>
          <w:rStyle w:val="y2iqfc"/>
          <w:rFonts w:asciiTheme="majorBidi" w:hAnsiTheme="majorBidi" w:cstheme="majorBidi"/>
          <w:color w:val="1F1F1F"/>
          <w:sz w:val="18"/>
          <w:szCs w:val="18"/>
          <w:rtl/>
          <w:lang w:bidi="ar"/>
        </w:rPr>
      </w:pPr>
      <w:r w:rsidRPr="009C4A5F">
        <w:rPr>
          <w:rStyle w:val="y2iqfc"/>
          <w:rFonts w:asciiTheme="majorBidi" w:hAnsiTheme="majorBidi" w:cstheme="majorBidi"/>
          <w:color w:val="1F1F1F"/>
          <w:sz w:val="18"/>
          <w:szCs w:val="18"/>
          <w:rtl/>
          <w:lang w:bidi="ar"/>
        </w:rPr>
        <w:t>يُعدّ الكشف المبكر عن سرطان القولون والمستقيم أمرًا بالغ الأهمية للعلاج الفعال؛ إلا أن طرق الفحص التقليدية تواجه تحديات. فالتنظير القولوني، على الرغم من فعاليته العالية، إلا أنه محدود التوفر، بينما تُعدّ اختبارات الدم الخفي في البراز المناعية (</w:t>
      </w:r>
      <w:r w:rsidRPr="009C4A5F">
        <w:rPr>
          <w:rStyle w:val="y2iqfc"/>
          <w:rFonts w:asciiTheme="majorBidi" w:hAnsiTheme="majorBidi" w:cstheme="majorBidi"/>
          <w:color w:val="1F1F1F"/>
          <w:sz w:val="18"/>
          <w:szCs w:val="18"/>
          <w:lang w:bidi="ar"/>
        </w:rPr>
        <w:t>FIT</w:t>
      </w:r>
      <w:r w:rsidRPr="009C4A5F">
        <w:rPr>
          <w:rStyle w:val="y2iqfc"/>
          <w:rFonts w:asciiTheme="majorBidi" w:hAnsiTheme="majorBidi" w:cstheme="majorBidi"/>
          <w:color w:val="1F1F1F"/>
          <w:sz w:val="18"/>
          <w:szCs w:val="18"/>
          <w:rtl/>
          <w:lang w:bidi="ar"/>
        </w:rPr>
        <w:t xml:space="preserve">) أكثر سهولة وأقل تكلفة، ولكنها تعاني من انخفاض معدل الالتزام بها. ركزت هذه الدراسة على تقييم التغيرات المحتملة في صورة الدم لدى الفئران المصابة بسرطان غدي موضعي في القولون مُحفّز بواسطة </w:t>
      </w:r>
      <w:r w:rsidR="00AF4CFD">
        <w:rPr>
          <w:rStyle w:val="y2iqfc"/>
          <w:rFonts w:asciiTheme="majorBidi" w:hAnsiTheme="majorBidi" w:cstheme="majorBidi" w:hint="cs"/>
          <w:color w:val="1F1F1F"/>
          <w:sz w:val="18"/>
          <w:szCs w:val="18"/>
          <w:rtl/>
          <w:lang w:bidi="ar"/>
        </w:rPr>
        <w:t>داي ميثيل هيدرازين</w:t>
      </w:r>
      <w:r w:rsidR="00AF4CFD" w:rsidRPr="009C4A5F">
        <w:rPr>
          <w:rStyle w:val="y2iqfc"/>
          <w:rFonts w:asciiTheme="majorBidi" w:hAnsiTheme="majorBidi" w:cstheme="majorBidi" w:hint="cs"/>
          <w:color w:val="1F1F1F"/>
          <w:sz w:val="18"/>
          <w:szCs w:val="18"/>
          <w:rtl/>
          <w:lang w:bidi="ar"/>
        </w:rPr>
        <w:t>،</w:t>
      </w:r>
      <w:r w:rsidRPr="009C4A5F">
        <w:rPr>
          <w:rStyle w:val="y2iqfc"/>
          <w:rFonts w:asciiTheme="majorBidi" w:hAnsiTheme="majorBidi" w:cstheme="majorBidi"/>
          <w:color w:val="1F1F1F"/>
          <w:sz w:val="18"/>
          <w:szCs w:val="18"/>
          <w:rtl/>
          <w:lang w:bidi="ar"/>
        </w:rPr>
        <w:t xml:space="preserve"> بالإضافة إلى تقييم مستخلص أوراق نبات الفينكا الوردية كعلاج تصحيحي. استُخدم الحقن تحت الجلد لـ </w:t>
      </w:r>
      <w:r w:rsidR="00AF4CFD">
        <w:rPr>
          <w:rStyle w:val="y2iqfc"/>
          <w:rFonts w:asciiTheme="majorBidi" w:hAnsiTheme="majorBidi" w:cstheme="majorBidi" w:hint="cs"/>
          <w:color w:val="1F1F1F"/>
          <w:sz w:val="18"/>
          <w:szCs w:val="18"/>
          <w:rtl/>
          <w:lang w:bidi="ar"/>
        </w:rPr>
        <w:t>داي ميثيل هيدرازين</w:t>
      </w:r>
      <w:r w:rsidRPr="009C4A5F">
        <w:rPr>
          <w:rStyle w:val="y2iqfc"/>
          <w:rFonts w:asciiTheme="majorBidi" w:hAnsiTheme="majorBidi" w:cstheme="majorBidi"/>
          <w:color w:val="1F1F1F"/>
          <w:sz w:val="18"/>
          <w:szCs w:val="18"/>
          <w:rtl/>
          <w:lang w:bidi="ar"/>
        </w:rPr>
        <w:t xml:space="preserve"> (40 ملغم/كغم) لمدة 6 أسابيع لتحفيز الإصابة بسرطان القولون والمستقيم، و5-فلورويوراسيل </w:t>
      </w:r>
      <w:r w:rsidRPr="009C4A5F">
        <w:rPr>
          <w:rStyle w:val="y2iqfc"/>
          <w:rFonts w:asciiTheme="majorBidi" w:hAnsiTheme="majorBidi" w:cstheme="majorBidi"/>
          <w:color w:val="1F1F1F"/>
          <w:sz w:val="18"/>
          <w:szCs w:val="18"/>
          <w:lang w:bidi="ar"/>
        </w:rPr>
        <w:t>(5-FU)</w:t>
      </w:r>
      <w:r w:rsidRPr="009C4A5F">
        <w:rPr>
          <w:rStyle w:val="y2iqfc"/>
          <w:rFonts w:asciiTheme="majorBidi" w:hAnsiTheme="majorBidi" w:cstheme="majorBidi"/>
          <w:color w:val="1F1F1F"/>
          <w:sz w:val="18"/>
          <w:szCs w:val="18"/>
          <w:rtl/>
          <w:lang w:bidi="ar"/>
        </w:rPr>
        <w:t xml:space="preserve"> (50 ملغم/كغم، حقن داخل الصفاق مرة واحدة أسبوعيًا) لمدة 6 أسابيع كعلاج قياسي. قُسّمت الفئران إلى مجموعات مختلفة، وأُعطيت مستخلص أوراق نبات الفينكا </w:t>
      </w:r>
      <w:r w:rsidR="00AF4CFD">
        <w:rPr>
          <w:rStyle w:val="y2iqfc"/>
          <w:rFonts w:asciiTheme="majorBidi" w:hAnsiTheme="majorBidi" w:cstheme="majorBidi" w:hint="cs"/>
          <w:color w:val="1F1F1F"/>
          <w:sz w:val="18"/>
          <w:szCs w:val="18"/>
          <w:rtl/>
          <w:lang w:bidi="ar"/>
        </w:rPr>
        <w:t>روزياس</w:t>
      </w:r>
      <w:r w:rsidRPr="009C4A5F">
        <w:rPr>
          <w:rStyle w:val="y2iqfc"/>
          <w:rFonts w:asciiTheme="majorBidi" w:hAnsiTheme="majorBidi" w:cstheme="majorBidi"/>
          <w:color w:val="1F1F1F"/>
          <w:sz w:val="18"/>
          <w:szCs w:val="18"/>
          <w:rtl/>
          <w:lang w:bidi="ar"/>
        </w:rPr>
        <w:t xml:space="preserve"> (150 و300 ملغم/كغم) عن طريق الفم لمدة ستة أسابيع. لم تُظهر جميع المؤشرات الدموية أي فروق ذات دلالة إحصائية (</w:t>
      </w:r>
      <w:r w:rsidRPr="009C4A5F">
        <w:rPr>
          <w:rStyle w:val="y2iqfc"/>
          <w:rFonts w:asciiTheme="majorBidi" w:hAnsiTheme="majorBidi" w:cstheme="majorBidi"/>
          <w:color w:val="1F1F1F"/>
          <w:sz w:val="18"/>
          <w:szCs w:val="18"/>
          <w:lang w:bidi="ar"/>
        </w:rPr>
        <w:t>p</w:t>
      </w:r>
      <w:r w:rsidRPr="009C4A5F">
        <w:rPr>
          <w:rStyle w:val="y2iqfc"/>
          <w:rFonts w:asciiTheme="majorBidi" w:hAnsiTheme="majorBidi" w:cstheme="majorBidi"/>
          <w:color w:val="1F1F1F"/>
          <w:sz w:val="18"/>
          <w:szCs w:val="18"/>
          <w:rtl/>
          <w:lang w:bidi="ar"/>
        </w:rPr>
        <w:t xml:space="preserve"> &lt; 0.05) بين الحيوانات التي تم تضحيتها في نهاية الأسبوع السادس من التجربة. أدى إعطاء </w:t>
      </w:r>
      <w:r w:rsidR="00AF4CFD">
        <w:rPr>
          <w:rStyle w:val="y2iqfc"/>
          <w:rFonts w:asciiTheme="majorBidi" w:hAnsiTheme="majorBidi" w:cstheme="majorBidi" w:hint="cs"/>
          <w:color w:val="1F1F1F"/>
          <w:sz w:val="18"/>
          <w:szCs w:val="18"/>
          <w:rtl/>
          <w:lang w:bidi="ar"/>
        </w:rPr>
        <w:t>داي ميثيل هيدرازين</w:t>
      </w:r>
      <w:r w:rsidRPr="009C4A5F">
        <w:rPr>
          <w:rStyle w:val="y2iqfc"/>
          <w:rFonts w:asciiTheme="majorBidi" w:hAnsiTheme="majorBidi" w:cstheme="majorBidi"/>
          <w:color w:val="1F1F1F"/>
          <w:sz w:val="18"/>
          <w:szCs w:val="18"/>
          <w:rtl/>
          <w:lang w:bidi="ar"/>
        </w:rPr>
        <w:t xml:space="preserve"> إلى تغييرات في معايير الدم، بما في ذلك انخفاض في عدد كريات الدم الحمراء، والهيماتوكريت، والصفائح الدموية، وارتفاع حاد في عدد الخلايا الوحيدة، ولكن دون أي دلالة إحصائية عند مقارنتها بمجموعات </w:t>
      </w:r>
      <w:r w:rsidR="00AF4CFD" w:rsidRPr="00AF4CFD">
        <w:rPr>
          <w:rStyle w:val="y2iqfc"/>
          <w:rFonts w:asciiTheme="majorBidi" w:hAnsiTheme="majorBidi" w:cs="Times New Roman"/>
          <w:color w:val="1F1F1F"/>
          <w:sz w:val="18"/>
          <w:szCs w:val="18"/>
          <w:rtl/>
          <w:lang w:bidi="ar"/>
        </w:rPr>
        <w:t>الفينكا روزياس</w:t>
      </w:r>
      <w:r w:rsidRPr="009C4A5F">
        <w:rPr>
          <w:rStyle w:val="y2iqfc"/>
          <w:rFonts w:asciiTheme="majorBidi" w:hAnsiTheme="majorBidi" w:cstheme="majorBidi"/>
          <w:color w:val="1F1F1F"/>
          <w:sz w:val="18"/>
          <w:szCs w:val="18"/>
          <w:rtl/>
          <w:lang w:bidi="ar"/>
        </w:rPr>
        <w:t xml:space="preserve"> التي أعادت هذه المعايير إلى طبيعتها مقارنةً بالمعيار.</w:t>
      </w:r>
    </w:p>
    <w:p w14:paraId="2FCBFFB0" w14:textId="77777777" w:rsidR="009C4A5F" w:rsidRPr="009C4A5F" w:rsidRDefault="009C4A5F" w:rsidP="009C4A5F">
      <w:pPr>
        <w:pStyle w:val="HTMLPreformatted"/>
        <w:shd w:val="clear" w:color="auto" w:fill="F8F9FA"/>
        <w:bidi/>
        <w:jc w:val="both"/>
        <w:rPr>
          <w:rStyle w:val="y2iqfc"/>
          <w:rFonts w:asciiTheme="majorBidi" w:hAnsiTheme="majorBidi" w:cstheme="majorBidi"/>
          <w:color w:val="1F1F1F"/>
          <w:sz w:val="18"/>
          <w:szCs w:val="18"/>
          <w:rtl/>
          <w:lang w:bidi="ar"/>
        </w:rPr>
      </w:pPr>
    </w:p>
    <w:p w14:paraId="401CCDB7" w14:textId="4C7653CF" w:rsidR="009C4A5F" w:rsidRPr="009C4A5F" w:rsidRDefault="009C4A5F" w:rsidP="009C4A5F">
      <w:pPr>
        <w:pStyle w:val="HTMLPreformatted"/>
        <w:shd w:val="clear" w:color="auto" w:fill="F8F9FA"/>
        <w:bidi/>
        <w:jc w:val="both"/>
        <w:rPr>
          <w:rFonts w:asciiTheme="majorBidi" w:hAnsiTheme="majorBidi" w:cstheme="majorBidi"/>
          <w:color w:val="1F1F1F"/>
          <w:sz w:val="18"/>
          <w:szCs w:val="18"/>
        </w:rPr>
      </w:pPr>
      <w:r w:rsidRPr="00A20819">
        <w:rPr>
          <w:rStyle w:val="y2iqfc"/>
          <w:rFonts w:asciiTheme="majorBidi" w:hAnsiTheme="majorBidi" w:cstheme="majorBidi"/>
          <w:b/>
          <w:bCs/>
          <w:color w:val="1F1F1F"/>
          <w:sz w:val="18"/>
          <w:szCs w:val="18"/>
          <w:rtl/>
          <w:lang w:bidi="ar"/>
        </w:rPr>
        <w:t>الكلمات المفتاحية</w:t>
      </w:r>
      <w:r w:rsidRPr="009C4A5F">
        <w:rPr>
          <w:rStyle w:val="y2iqfc"/>
          <w:rFonts w:asciiTheme="majorBidi" w:hAnsiTheme="majorBidi" w:cstheme="majorBidi"/>
          <w:color w:val="1F1F1F"/>
          <w:sz w:val="18"/>
          <w:szCs w:val="18"/>
          <w:rtl/>
          <w:lang w:bidi="ar"/>
        </w:rPr>
        <w:t xml:space="preserve">: سرطان القولون والمستقيم، </w:t>
      </w:r>
      <w:r w:rsidR="00A81F25">
        <w:rPr>
          <w:rStyle w:val="y2iqfc"/>
          <w:rFonts w:asciiTheme="majorBidi" w:hAnsiTheme="majorBidi" w:cstheme="majorBidi" w:hint="cs"/>
          <w:color w:val="1F1F1F"/>
          <w:sz w:val="18"/>
          <w:szCs w:val="18"/>
          <w:rtl/>
          <w:lang w:bidi="ar"/>
        </w:rPr>
        <w:t xml:space="preserve">داي ميثيل </w:t>
      </w:r>
      <w:r w:rsidR="00AF4CFD">
        <w:rPr>
          <w:rStyle w:val="y2iqfc"/>
          <w:rFonts w:asciiTheme="majorBidi" w:hAnsiTheme="majorBidi" w:cstheme="majorBidi" w:hint="cs"/>
          <w:color w:val="1F1F1F"/>
          <w:sz w:val="18"/>
          <w:szCs w:val="18"/>
          <w:rtl/>
          <w:lang w:bidi="ar"/>
        </w:rPr>
        <w:t>هيدرازين،</w:t>
      </w:r>
      <w:r w:rsidRPr="009C4A5F">
        <w:rPr>
          <w:rStyle w:val="y2iqfc"/>
          <w:rFonts w:asciiTheme="majorBidi" w:hAnsiTheme="majorBidi" w:cstheme="majorBidi"/>
          <w:color w:val="1F1F1F"/>
          <w:sz w:val="18"/>
          <w:szCs w:val="18"/>
          <w:rtl/>
          <w:lang w:bidi="ar"/>
        </w:rPr>
        <w:t xml:space="preserve"> </w:t>
      </w:r>
      <w:r w:rsidR="00A81F25">
        <w:rPr>
          <w:rStyle w:val="y2iqfc"/>
          <w:rFonts w:asciiTheme="majorBidi" w:hAnsiTheme="majorBidi" w:cstheme="majorBidi" w:hint="cs"/>
          <w:color w:val="1F1F1F"/>
          <w:sz w:val="18"/>
          <w:szCs w:val="18"/>
          <w:rtl/>
          <w:lang w:bidi="ar"/>
        </w:rPr>
        <w:t>5-فلورويوراسيل</w:t>
      </w:r>
      <w:r w:rsidRPr="009C4A5F">
        <w:rPr>
          <w:rStyle w:val="y2iqfc"/>
          <w:rFonts w:asciiTheme="majorBidi" w:hAnsiTheme="majorBidi" w:cstheme="majorBidi"/>
          <w:color w:val="1F1F1F"/>
          <w:sz w:val="18"/>
          <w:szCs w:val="18"/>
          <w:rtl/>
          <w:lang w:bidi="ar"/>
        </w:rPr>
        <w:t xml:space="preserve">، </w:t>
      </w:r>
      <w:r w:rsidR="00A81F25">
        <w:rPr>
          <w:rStyle w:val="y2iqfc"/>
          <w:rFonts w:asciiTheme="majorBidi" w:hAnsiTheme="majorBidi" w:cstheme="majorBidi" w:hint="cs"/>
          <w:color w:val="1F1F1F"/>
          <w:sz w:val="18"/>
          <w:szCs w:val="18"/>
          <w:rtl/>
          <w:lang w:bidi="ar"/>
        </w:rPr>
        <w:t>هيماتوكريت</w:t>
      </w:r>
      <w:r w:rsidR="00AF4CFD">
        <w:rPr>
          <w:rStyle w:val="y2iqfc"/>
          <w:rFonts w:asciiTheme="majorBidi" w:hAnsiTheme="majorBidi" w:cstheme="majorBidi" w:hint="cs"/>
          <w:color w:val="1F1F1F"/>
          <w:sz w:val="18"/>
          <w:szCs w:val="18"/>
          <w:rtl/>
          <w:lang w:bidi="ar"/>
        </w:rPr>
        <w:t>،</w:t>
      </w:r>
      <w:r w:rsidR="00A81F25">
        <w:rPr>
          <w:rStyle w:val="y2iqfc"/>
          <w:rFonts w:asciiTheme="majorBidi" w:hAnsiTheme="majorBidi" w:cstheme="majorBidi" w:hint="cs"/>
          <w:color w:val="1F1F1F"/>
          <w:sz w:val="18"/>
          <w:szCs w:val="18"/>
          <w:rtl/>
          <w:lang w:bidi="ar"/>
        </w:rPr>
        <w:t xml:space="preserve"> </w:t>
      </w:r>
      <w:r w:rsidRPr="009C4A5F">
        <w:rPr>
          <w:rStyle w:val="y2iqfc"/>
          <w:rFonts w:asciiTheme="majorBidi" w:hAnsiTheme="majorBidi" w:cstheme="majorBidi"/>
          <w:color w:val="1F1F1F"/>
          <w:sz w:val="18"/>
          <w:szCs w:val="18"/>
          <w:rtl/>
          <w:lang w:bidi="ar"/>
        </w:rPr>
        <w:t>كريات الدم البيضاء، الصفائح الدموية</w:t>
      </w:r>
      <w:r w:rsidR="00AF4CFD">
        <w:rPr>
          <w:rStyle w:val="y2iqfc"/>
          <w:rFonts w:asciiTheme="majorBidi" w:hAnsiTheme="majorBidi" w:cstheme="majorBidi" w:hint="cs"/>
          <w:color w:val="1F1F1F"/>
          <w:sz w:val="18"/>
          <w:szCs w:val="18"/>
          <w:rtl/>
          <w:lang w:bidi="ar"/>
        </w:rPr>
        <w:t>.</w:t>
      </w:r>
    </w:p>
    <w:p w14:paraId="735483DE" w14:textId="77777777" w:rsidR="00586342" w:rsidRDefault="00586342" w:rsidP="009C4A5F">
      <w:pPr>
        <w:pStyle w:val="Els-reference"/>
        <w:bidi/>
        <w:spacing w:before="120" w:line="240" w:lineRule="auto"/>
        <w:ind w:left="0" w:firstLine="0"/>
        <w:jc w:val="both"/>
        <w:rPr>
          <w:rFonts w:asciiTheme="majorBidi" w:hAnsiTheme="majorBidi" w:cstheme="majorBidi"/>
          <w:sz w:val="18"/>
          <w:szCs w:val="18"/>
          <w:rtl/>
          <w:lang w:val="en-US" w:bidi="ar-EG"/>
        </w:rPr>
      </w:pPr>
    </w:p>
    <w:p w14:paraId="5A2D0DF8" w14:textId="77777777" w:rsidR="00CD4705" w:rsidRPr="009C4A5F" w:rsidRDefault="00CD4705" w:rsidP="00CD4705">
      <w:pPr>
        <w:pStyle w:val="Els-reference"/>
        <w:bidi/>
        <w:spacing w:before="120" w:line="240" w:lineRule="auto"/>
        <w:ind w:left="0" w:firstLine="0"/>
        <w:rPr>
          <w:rFonts w:asciiTheme="majorBidi" w:hAnsiTheme="majorBidi" w:cstheme="majorBidi"/>
          <w:sz w:val="18"/>
          <w:szCs w:val="18"/>
          <w:rtl/>
          <w:lang w:val="en-US" w:bidi="ar-EG"/>
        </w:rPr>
      </w:pPr>
    </w:p>
    <w:p w14:paraId="2C6D6064" w14:textId="77777777" w:rsidR="00CD4705" w:rsidRPr="009C4A5F" w:rsidRDefault="00CD4705" w:rsidP="00CD4705">
      <w:pPr>
        <w:pStyle w:val="Els-reference"/>
        <w:bidi/>
        <w:spacing w:before="120" w:line="240" w:lineRule="auto"/>
        <w:ind w:left="0" w:firstLine="0"/>
        <w:rPr>
          <w:rFonts w:asciiTheme="majorBidi" w:hAnsiTheme="majorBidi" w:cstheme="majorBidi"/>
          <w:sz w:val="18"/>
          <w:szCs w:val="18"/>
          <w:rtl/>
          <w:lang w:val="en-US" w:bidi="ar-EG"/>
        </w:rPr>
      </w:pPr>
    </w:p>
    <w:sectPr w:rsidR="00CD4705" w:rsidRPr="009C4A5F" w:rsidSect="00AA09E0">
      <w:type w:val="continuous"/>
      <w:pgSz w:w="11906" w:h="16838" w:code="9"/>
      <w:pgMar w:top="1418" w:right="1418" w:bottom="1418" w:left="1418" w:header="964" w:footer="964" w:gutter="0"/>
      <w:cols w:space="48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8FC0" w14:textId="77777777" w:rsidR="0092693C" w:rsidRPr="005A4A2C" w:rsidRDefault="0092693C" w:rsidP="005A4A2C">
      <w:pPr>
        <w:pStyle w:val="Footer"/>
      </w:pPr>
    </w:p>
  </w:endnote>
  <w:endnote w:type="continuationSeparator" w:id="0">
    <w:p w14:paraId="3C066E1A" w14:textId="77777777" w:rsidR="0092693C" w:rsidRDefault="0092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embedRegular r:id="rId1" w:fontKey="{CD296EDF-F26C-46D3-87DD-89F12AE9D6B8}"/>
    <w:embedBold r:id="rId2" w:fontKey="{63635889-7644-4838-88FC-E7DF3B41F89D}"/>
  </w:font>
  <w:font w:name="Univers">
    <w:charset w:val="00"/>
    <w:family w:val="swiss"/>
    <w:pitch w:val="variable"/>
    <w:sig w:usb0="80000287" w:usb1="00000000" w:usb2="00000000" w:usb3="00000000" w:csb0="0000000F" w:csb1="00000000"/>
    <w:embedRegular r:id="rId3" w:fontKey="{08355D1E-D85B-4B00-B797-604C482702C2}"/>
  </w:font>
  <w:font w:name="Tahoma">
    <w:panose1 w:val="020B0604030504040204"/>
    <w:charset w:val="00"/>
    <w:family w:val="swiss"/>
    <w:pitch w:val="variable"/>
    <w:sig w:usb0="E1002EFF" w:usb1="C000605B" w:usb2="00000029" w:usb3="00000000" w:csb0="000101FF" w:csb1="00000000"/>
    <w:embedRegular r:id="rId4" w:fontKey="{76D804E1-2534-4B97-88C8-C9D4CF1D58AE}"/>
  </w:font>
  <w:font w:name="Helvetica">
    <w:panose1 w:val="020B0604020202020204"/>
    <w:charset w:val="00"/>
    <w:family w:val="swiss"/>
    <w:pitch w:val="variable"/>
    <w:sig w:usb0="E0002EFF" w:usb1="C000785B" w:usb2="00000009" w:usb3="00000000" w:csb0="000001FF" w:csb1="00000000"/>
    <w:embedRegular r:id="rId5" w:fontKey="{432586D8-F98E-4464-8F16-75AEA66659B7}"/>
  </w:font>
  <w:font w:name="Calibri">
    <w:panose1 w:val="020F0502020204030204"/>
    <w:charset w:val="00"/>
    <w:family w:val="swiss"/>
    <w:pitch w:val="variable"/>
    <w:sig w:usb0="E4002EFF" w:usb1="C000247B" w:usb2="00000009" w:usb3="00000000" w:csb0="000001FF" w:csb1="00000000"/>
    <w:embedRegular r:id="rId6" w:fontKey="{5AB6E3BC-E1FA-42B9-B2FB-AAFF2F7EE600}"/>
    <w:embedBold r:id="rId7" w:fontKey="{AA41AA9D-92E1-438B-B6D8-54AB0E5C5D50}"/>
    <w:embedItalic r:id="rId8" w:fontKey="{1F61D9E7-C744-441E-800C-69F96451111D}"/>
    <w:embedBoldItalic r:id="rId9" w:fontKey="{21035B27-EF60-46E2-8E2D-0B7C72B0AB1E}"/>
  </w:font>
  <w:font w:name="Arial">
    <w:panose1 w:val="020B0604020202020204"/>
    <w:charset w:val="00"/>
    <w:family w:val="swiss"/>
    <w:pitch w:val="variable"/>
    <w:sig w:usb0="E0002EFF" w:usb1="C000785B" w:usb2="00000009" w:usb3="00000000" w:csb0="000001FF" w:csb1="00000000"/>
  </w:font>
  <w:font w:name="JLBLE G+ Adv O T 863180fb">
    <w:panose1 w:val="00000000000000000000"/>
    <w:charset w:val="00"/>
    <w:family w:val="roman"/>
    <w:notTrueType/>
    <w:pitch w:val="default"/>
    <w:sig w:usb0="00000003" w:usb1="00000000" w:usb2="00000000" w:usb3="00000000" w:csb0="00000001" w:csb1="00000000"/>
  </w:font>
  <w:font w:name="Helvetica Bold">
    <w:panose1 w:val="00000000000000000000"/>
    <w:charset w:val="00"/>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embedRegular r:id="rId10" w:fontKey="{A8377412-7FD9-481E-896F-097C30D4C431}"/>
    <w:embedItalic r:id="rId11" w:fontKey="{02B6D9C2-62D3-464A-9C63-465164D536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8D59" w14:textId="027661CB" w:rsidR="00845907" w:rsidRPr="00845907" w:rsidRDefault="00845907" w:rsidP="00C21648">
    <w:pPr>
      <w:pStyle w:val="BasicParagraph"/>
      <w:rPr>
        <w:sz w:val="18"/>
        <w:szCs w:val="18"/>
      </w:rPr>
    </w:pPr>
    <w:r>
      <w:rPr>
        <w:i/>
        <w:iCs/>
        <w:sz w:val="18"/>
        <w:szCs w:val="18"/>
      </w:rPr>
      <w:t xml:space="preserve">Egypt. J. Vet. Sci.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1FC9" w14:textId="1292618B" w:rsidR="00845907" w:rsidRPr="00845907" w:rsidRDefault="00845907" w:rsidP="00C21648">
    <w:pPr>
      <w:pStyle w:val="BasicParagraph"/>
      <w:bidi/>
      <w:rPr>
        <w:sz w:val="18"/>
        <w:szCs w:val="18"/>
        <w:rtl/>
        <w:lang w:bidi="ar-EG"/>
      </w:rPr>
    </w:pPr>
    <w:r>
      <w:rPr>
        <w:i/>
        <w:iCs/>
        <w:sz w:val="18"/>
        <w:szCs w:val="18"/>
      </w:rPr>
      <w:t xml:space="preserve">Egypt. J. Vet. Sci.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0BDC" w14:textId="2433298C" w:rsidR="00AE3F8C" w:rsidRPr="00AE3F8C" w:rsidRDefault="003B735A" w:rsidP="00AE3F8C">
    <w:pPr>
      <w:spacing w:line="480" w:lineRule="auto"/>
      <w:ind w:hanging="1276"/>
      <w:rPr>
        <w:rFonts w:asciiTheme="majorBidi" w:eastAsia="Calibri" w:hAnsiTheme="majorBidi" w:cstheme="majorBidi"/>
        <w:color w:val="EE0000"/>
        <w:lang w:val="en-IN"/>
      </w:rPr>
    </w:pPr>
    <w:r w:rsidRPr="00AE3F8C">
      <w:rPr>
        <w:rFonts w:asciiTheme="majorBidi" w:eastAsia="Calibri" w:hAnsiTheme="majorBidi" w:cstheme="majorBidi"/>
        <w:b/>
        <w:color w:val="EE0000"/>
        <w:lang w:val="en-IN"/>
      </w:rPr>
      <w:t xml:space="preserve">*Corresponding author:  </w:t>
    </w:r>
    <w:r w:rsidRPr="00AE3F8C">
      <w:rPr>
        <w:rFonts w:asciiTheme="majorBidi" w:eastAsia="Calibri" w:hAnsiTheme="majorBidi" w:cstheme="majorBidi"/>
        <w:b/>
        <w:bCs/>
        <w:color w:val="EE0000"/>
      </w:rPr>
      <w:t>Yassmin A. Ramadan</w:t>
    </w:r>
    <w:r w:rsidR="007D457B" w:rsidRPr="00AE3F8C">
      <w:rPr>
        <w:rFonts w:asciiTheme="majorBidi" w:eastAsia="Calibri" w:hAnsiTheme="majorBidi" w:cstheme="majorBidi"/>
        <w:b/>
        <w:bCs/>
        <w:color w:val="EE0000"/>
      </w:rPr>
      <w:t>,</w:t>
    </w:r>
    <w:r w:rsidRPr="00AE3F8C">
      <w:rPr>
        <w:rFonts w:asciiTheme="majorBidi" w:eastAsia="Calibri" w:hAnsiTheme="majorBidi" w:cstheme="majorBidi"/>
        <w:b/>
        <w:bCs/>
        <w:color w:val="EE0000"/>
      </w:rPr>
      <w:t xml:space="preserve"> </w:t>
    </w:r>
    <w:r w:rsidRPr="00AE3F8C">
      <w:rPr>
        <w:rFonts w:asciiTheme="majorBidi" w:eastAsia="Calibri" w:hAnsiTheme="majorBidi" w:cstheme="majorBidi"/>
        <w:b/>
        <w:bCs/>
        <w:i/>
        <w:iCs/>
        <w:color w:val="EE0000"/>
        <w:lang w:val="en-IN"/>
      </w:rPr>
      <w:t>Email</w:t>
    </w:r>
    <w:r w:rsidRPr="00AE3F8C">
      <w:rPr>
        <w:rFonts w:asciiTheme="majorBidi" w:eastAsia="Calibri" w:hAnsiTheme="majorBidi" w:cstheme="majorBidi"/>
        <w:i/>
        <w:iCs/>
        <w:color w:val="EE0000"/>
        <w:lang w:val="en-IN"/>
      </w:rPr>
      <w:t xml:space="preserve">: </w:t>
    </w:r>
    <w:hyperlink r:id="rId1" w:history="1">
      <w:r w:rsidR="00AE3F8C" w:rsidRPr="00AE3F8C">
        <w:rPr>
          <w:rStyle w:val="Hyperlink"/>
          <w:rFonts w:asciiTheme="majorBidi" w:eastAsia="Calibri" w:hAnsiTheme="majorBidi" w:cstheme="majorBidi"/>
          <w:i/>
          <w:iCs/>
          <w:color w:val="EE0000"/>
        </w:rPr>
        <w:t>yassminramadan80@gmail.com</w:t>
      </w:r>
    </w:hyperlink>
    <w:r w:rsidR="00AE3F8C" w:rsidRPr="00AE3F8C">
      <w:rPr>
        <w:rFonts w:asciiTheme="majorBidi" w:eastAsia="Calibri" w:hAnsiTheme="majorBidi" w:cstheme="majorBidi"/>
        <w:i/>
        <w:iCs/>
        <w:color w:val="EE0000"/>
        <w:u w:val="single"/>
      </w:rPr>
      <w:t>.</w:t>
    </w:r>
    <w:r w:rsidR="00AE3F8C" w:rsidRPr="00AE3F8C">
      <w:rPr>
        <w:rFonts w:asciiTheme="majorBidi" w:eastAsia="Calibri" w:hAnsiTheme="majorBidi" w:cstheme="majorBidi"/>
        <w:i/>
        <w:iCs/>
        <w:color w:val="EE0000"/>
        <w:lang w:val="en-IN"/>
      </w:rPr>
      <w:t xml:space="preserve"> </w:t>
    </w:r>
    <w:r w:rsidR="00AE3F8C" w:rsidRPr="00AE3F8C">
      <w:rPr>
        <w:rFonts w:asciiTheme="majorBidi" w:eastAsia="Calibri" w:hAnsiTheme="majorBidi" w:cstheme="majorBidi"/>
        <w:color w:val="EE0000"/>
        <w:lang w:val="en-IN"/>
      </w:rPr>
      <w:t>Tel.: +20-(013) 246-1411</w:t>
    </w:r>
  </w:p>
  <w:p w14:paraId="1B19389A" w14:textId="77777777" w:rsidR="00AE3F8C" w:rsidRPr="00F47E14" w:rsidRDefault="00AE3F8C" w:rsidP="00AE3F8C">
    <w:pPr>
      <w:pBdr>
        <w:top w:val="single" w:sz="4" w:space="0" w:color="auto"/>
      </w:pBdr>
      <w:ind w:left="-1134"/>
      <w:rPr>
        <w:color w:val="FF0000"/>
        <w:sz w:val="18"/>
        <w:szCs w:val="18"/>
      </w:rPr>
    </w:pPr>
    <w:r w:rsidRPr="00AE3F8C">
      <w:rPr>
        <w:color w:val="EE0000"/>
        <w:sz w:val="18"/>
        <w:szCs w:val="18"/>
      </w:rPr>
      <w:t>DOI</w:t>
    </w:r>
    <w:r w:rsidRPr="00F47E14">
      <w:rPr>
        <w:color w:val="FF0000"/>
        <w:sz w:val="18"/>
        <w:szCs w:val="18"/>
      </w:rPr>
      <w:t xml:space="preserve">: </w:t>
    </w:r>
  </w:p>
  <w:p w14:paraId="319D2C29" w14:textId="77777777" w:rsidR="00AE3F8C" w:rsidRPr="00F47E14" w:rsidRDefault="00AE3F8C" w:rsidP="00AE3F8C">
    <w:pPr>
      <w:pBdr>
        <w:top w:val="single" w:sz="4" w:space="0" w:color="auto"/>
      </w:pBdr>
      <w:ind w:left="-1134"/>
      <w:rPr>
        <w:sz w:val="18"/>
        <w:szCs w:val="18"/>
      </w:rPr>
    </w:pPr>
    <w:r w:rsidRPr="00F47E14">
      <w:rPr>
        <w:sz w:val="18"/>
        <w:szCs w:val="18"/>
      </w:rPr>
      <w:t xml:space="preserve">©National Information and Documentation Center (NIDOC) </w:t>
    </w:r>
  </w:p>
  <w:p w14:paraId="75B3EDEB" w14:textId="77777777" w:rsidR="00AE3F8C" w:rsidRPr="00845907" w:rsidRDefault="00AE3F8C" w:rsidP="00AE3F8C">
    <w:pPr>
      <w:pBdr>
        <w:top w:val="single" w:sz="4" w:space="0" w:color="auto"/>
      </w:pBdr>
      <w:tabs>
        <w:tab w:val="left" w:pos="3591"/>
      </w:tabs>
      <w:ind w:left="-1134"/>
      <w:rPr>
        <w:rFonts w:asciiTheme="majorBidi" w:hAnsiTheme="majorBidi" w:cstheme="majorBidi"/>
        <w:sz w:val="18"/>
        <w:szCs w:val="18"/>
      </w:rPr>
    </w:pPr>
  </w:p>
  <w:p w14:paraId="4A89C9F4" w14:textId="77777777" w:rsidR="00AE3F8C" w:rsidRPr="00AE3F8C" w:rsidRDefault="00AE3F8C" w:rsidP="00AE3F8C">
    <w:pPr>
      <w:spacing w:line="480" w:lineRule="auto"/>
      <w:ind w:hanging="1276"/>
      <w:rPr>
        <w:rFonts w:asciiTheme="majorBidi" w:eastAsia="Calibri" w:hAnsiTheme="majorBidi" w:cstheme="majorBidi"/>
        <w:i/>
        <w:iCs/>
      </w:rPr>
    </w:pPr>
  </w:p>
  <w:p w14:paraId="564650CD" w14:textId="77777777" w:rsidR="00AE3F8C" w:rsidRDefault="00AE3F8C" w:rsidP="00AE3F8C">
    <w:pPr>
      <w:spacing w:line="480" w:lineRule="auto"/>
      <w:ind w:hanging="1276"/>
      <w:rPr>
        <w:rFonts w:asciiTheme="majorBidi" w:eastAsia="Calibri" w:hAnsiTheme="majorBidi" w:cstheme="majorBidi"/>
        <w:i/>
        <w:iCs/>
        <w:lang w:val="en-IN"/>
      </w:rPr>
    </w:pPr>
  </w:p>
  <w:p w14:paraId="65C2C64C" w14:textId="77777777" w:rsidR="00AE3F8C" w:rsidRPr="009E19DD" w:rsidRDefault="00AE3F8C" w:rsidP="00AE3F8C">
    <w:pPr>
      <w:spacing w:line="480" w:lineRule="auto"/>
      <w:ind w:hanging="1276"/>
      <w:rPr>
        <w:rFonts w:asciiTheme="majorBidi" w:eastAsia="Calibri" w:hAnsiTheme="majorBidi" w:cstheme="majorBidi"/>
        <w:i/>
        <w:iCs/>
        <w:lang w:val="en-IN"/>
      </w:rPr>
    </w:pPr>
  </w:p>
  <w:p w14:paraId="1B51430C" w14:textId="6425B290" w:rsidR="00AE3F8C" w:rsidRDefault="00AE3F8C" w:rsidP="003B735A">
    <w:pPr>
      <w:rPr>
        <w:rFonts w:asciiTheme="majorBidi" w:eastAsia="Calibri" w:hAnsiTheme="majorBidi" w:cstheme="majorBidi"/>
        <w:i/>
        <w:iCs/>
        <w:color w:val="0070C0"/>
        <w:u w:val="single"/>
      </w:rPr>
    </w:pPr>
  </w:p>
  <w:p w14:paraId="4560B60B" w14:textId="77777777" w:rsidR="003B735A" w:rsidRPr="003B735A" w:rsidRDefault="003B735A" w:rsidP="003B735A">
    <w:pPr>
      <w:pStyle w:val="Footer"/>
      <w:spacing w:line="240" w:lineRule="auto"/>
    </w:pPr>
  </w:p>
  <w:p w14:paraId="4B55431B" w14:textId="2A34990B" w:rsidR="003B735A" w:rsidRPr="003B735A" w:rsidRDefault="003B735A" w:rsidP="003B735A">
    <w:pPr>
      <w:spacing w:before="240" w:after="200"/>
      <w:rPr>
        <w:rFonts w:asciiTheme="majorBidi" w:eastAsia="Calibri" w:hAnsiTheme="majorBidi" w:cstheme="majorBidi"/>
        <w:b/>
        <w:lang w:val="de-DE"/>
      </w:rPr>
    </w:pPr>
  </w:p>
  <w:p w14:paraId="49F4C38B" w14:textId="6F790F2E" w:rsidR="007D457B" w:rsidRDefault="007D457B" w:rsidP="007D45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907C" w14:textId="77777777" w:rsidR="0092693C" w:rsidRDefault="0092693C">
      <w:pPr>
        <w:pStyle w:val="Footer"/>
      </w:pPr>
      <w:r>
        <w:t>———</w:t>
      </w:r>
    </w:p>
  </w:footnote>
  <w:footnote w:type="continuationSeparator" w:id="0">
    <w:p w14:paraId="6D9525D1" w14:textId="77777777" w:rsidR="0092693C" w:rsidRDefault="0092693C">
      <w:r>
        <w:t>———</w:t>
      </w:r>
    </w:p>
  </w:footnote>
  <w:footnote w:type="continuationNotice" w:id="1">
    <w:p w14:paraId="4F04E345" w14:textId="77777777" w:rsidR="0092693C" w:rsidRDefault="00926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AC8F" w14:textId="77777777" w:rsidR="009F38C1" w:rsidRPr="007A32BD" w:rsidRDefault="009F38C1" w:rsidP="005B160F">
    <w:pPr>
      <w:pStyle w:val="Header"/>
      <w:framePr w:wrap="around" w:vAnchor="text" w:hAnchor="margin" w:xAlign="outside" w:y="1"/>
      <w:rPr>
        <w:rStyle w:val="PageNumber"/>
        <w:sz w:val="18"/>
        <w:szCs w:val="18"/>
      </w:rPr>
    </w:pPr>
    <w:r w:rsidRPr="007A32BD">
      <w:rPr>
        <w:rStyle w:val="PageNumber"/>
        <w:sz w:val="18"/>
        <w:szCs w:val="18"/>
      </w:rPr>
      <w:fldChar w:fldCharType="begin"/>
    </w:r>
    <w:r w:rsidRPr="007A32BD">
      <w:rPr>
        <w:rStyle w:val="PageNumber"/>
        <w:sz w:val="18"/>
        <w:szCs w:val="18"/>
      </w:rPr>
      <w:instrText xml:space="preserve">PAGE  </w:instrText>
    </w:r>
    <w:r w:rsidRPr="007A32BD">
      <w:rPr>
        <w:rStyle w:val="PageNumber"/>
        <w:sz w:val="18"/>
        <w:szCs w:val="18"/>
      </w:rPr>
      <w:fldChar w:fldCharType="separate"/>
    </w:r>
    <w:r w:rsidR="00BE0507">
      <w:rPr>
        <w:rStyle w:val="PageNumber"/>
        <w:sz w:val="18"/>
        <w:szCs w:val="18"/>
      </w:rPr>
      <w:t>4</w:t>
    </w:r>
    <w:r w:rsidRPr="007A32BD">
      <w:rPr>
        <w:rStyle w:val="PageNumber"/>
        <w:sz w:val="18"/>
        <w:szCs w:val="18"/>
      </w:rPr>
      <w:fldChar w:fldCharType="end"/>
    </w:r>
  </w:p>
  <w:p w14:paraId="3D8FD6D2" w14:textId="3FADDF16" w:rsidR="009F38C1" w:rsidRPr="00413DDB" w:rsidRDefault="00AE3F8C" w:rsidP="00C31F3D">
    <w:pPr>
      <w:pStyle w:val="Header"/>
      <w:pBdr>
        <w:bottom w:val="single" w:sz="4" w:space="1" w:color="auto"/>
      </w:pBdr>
      <w:tabs>
        <w:tab w:val="clear" w:pos="5040"/>
        <w:tab w:val="left" w:pos="2124"/>
        <w:tab w:val="center" w:pos="4560"/>
      </w:tabs>
      <w:ind w:firstLine="360"/>
      <w:jc w:val="center"/>
      <w:rPr>
        <w:i/>
        <w:iCs/>
        <w:sz w:val="18"/>
        <w:szCs w:val="18"/>
        <w:lang w:val="en-GB"/>
      </w:rPr>
    </w:pPr>
    <w:r>
      <w:rPr>
        <w:rFonts w:asciiTheme="majorBidi" w:eastAsia="Yu Gothic" w:hAnsiTheme="majorBidi" w:cstheme="majorBidi"/>
        <w:kern w:val="2"/>
        <w:sz w:val="18"/>
        <w:szCs w:val="18"/>
        <w:lang w:eastAsia="ja-JP"/>
        <w14:ligatures w14:val="standardContextual"/>
      </w:rPr>
      <w:t xml:space="preserve">YASSMIN A. RAMADAN </w:t>
    </w:r>
    <w:r w:rsidRPr="00413DDB">
      <w:rPr>
        <w:i/>
        <w:iCs/>
        <w:sz w:val="18"/>
        <w:szCs w:val="18"/>
        <w:lang w:val="en-GB"/>
      </w:rPr>
      <w:t>et</w:t>
    </w:r>
    <w:r>
      <w:rPr>
        <w:i/>
        <w:iCs/>
        <w:sz w:val="18"/>
        <w:szCs w:val="18"/>
        <w:lang w:val="en-GB"/>
      </w:rPr>
      <w:t xml:space="preserve"> </w:t>
    </w:r>
    <w:r w:rsidRPr="00413DDB">
      <w:rPr>
        <w:i/>
        <w:iCs/>
        <w:sz w:val="18"/>
        <w:szCs w:val="18"/>
        <w:lang w:val="en-GB"/>
      </w:rPr>
      <w: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5893" w14:textId="77777777" w:rsidR="009F38C1" w:rsidRPr="002D77BC" w:rsidRDefault="009F38C1" w:rsidP="005B160F">
    <w:pPr>
      <w:pStyle w:val="Header"/>
      <w:framePr w:wrap="around" w:vAnchor="text" w:hAnchor="margin" w:xAlign="outside" w:y="1"/>
      <w:rPr>
        <w:rStyle w:val="PageNumber"/>
        <w:sz w:val="18"/>
        <w:szCs w:val="18"/>
      </w:rPr>
    </w:pPr>
    <w:r w:rsidRPr="002D77BC">
      <w:rPr>
        <w:rStyle w:val="PageNumber"/>
        <w:sz w:val="18"/>
        <w:szCs w:val="18"/>
      </w:rPr>
      <w:fldChar w:fldCharType="begin"/>
    </w:r>
    <w:r w:rsidRPr="002D77BC">
      <w:rPr>
        <w:rStyle w:val="PageNumber"/>
        <w:sz w:val="18"/>
        <w:szCs w:val="18"/>
      </w:rPr>
      <w:instrText xml:space="preserve">PAGE  </w:instrText>
    </w:r>
    <w:r w:rsidRPr="002D77BC">
      <w:rPr>
        <w:rStyle w:val="PageNumber"/>
        <w:sz w:val="18"/>
        <w:szCs w:val="18"/>
      </w:rPr>
      <w:fldChar w:fldCharType="separate"/>
    </w:r>
    <w:r w:rsidR="00BE0507">
      <w:rPr>
        <w:rStyle w:val="PageNumber"/>
        <w:sz w:val="18"/>
        <w:szCs w:val="18"/>
      </w:rPr>
      <w:t>5</w:t>
    </w:r>
    <w:r w:rsidRPr="002D77BC">
      <w:rPr>
        <w:rStyle w:val="PageNumber"/>
        <w:sz w:val="18"/>
        <w:szCs w:val="18"/>
      </w:rPr>
      <w:fldChar w:fldCharType="end"/>
    </w:r>
  </w:p>
  <w:p w14:paraId="666DDBF0" w14:textId="7EFE9EEA" w:rsidR="009F38C1" w:rsidRPr="002E4555" w:rsidRDefault="00D06BA6" w:rsidP="002E4555">
    <w:pPr>
      <w:pStyle w:val="Header"/>
      <w:pBdr>
        <w:bottom w:val="single" w:sz="4" w:space="1" w:color="auto"/>
      </w:pBdr>
      <w:tabs>
        <w:tab w:val="clear" w:pos="5040"/>
        <w:tab w:val="center" w:pos="4560"/>
      </w:tabs>
      <w:jc w:val="center"/>
      <w:rPr>
        <w:i/>
        <w:sz w:val="18"/>
        <w:szCs w:val="18"/>
        <w:lang w:val="en-GB"/>
      </w:rPr>
    </w:pPr>
    <w:r w:rsidRPr="00D06BA6">
      <w:rPr>
        <w:rFonts w:asciiTheme="majorBidi" w:eastAsia="Yu Gothic" w:hAnsiTheme="majorBidi" w:cstheme="majorBidi"/>
        <w:kern w:val="2"/>
        <w:sz w:val="18"/>
        <w:szCs w:val="18"/>
        <w:lang w:eastAsia="ja-JP"/>
        <w14:ligatures w14:val="standardContextual"/>
      </w:rPr>
      <w:t>A</w:t>
    </w:r>
    <w:r>
      <w:rPr>
        <w:rFonts w:asciiTheme="majorBidi" w:eastAsia="Yu Gothic" w:hAnsiTheme="majorBidi" w:cstheme="majorBidi"/>
        <w:kern w:val="2"/>
        <w:sz w:val="18"/>
        <w:szCs w:val="18"/>
        <w:lang w:eastAsia="ja-JP"/>
        <w14:ligatures w14:val="standardContextual"/>
      </w:rPr>
      <w:t xml:space="preserve">SSESMENT </w:t>
    </w:r>
    <w:r w:rsidRPr="00D06BA6">
      <w:rPr>
        <w:rFonts w:asciiTheme="majorBidi" w:eastAsia="Yu Gothic" w:hAnsiTheme="majorBidi" w:cstheme="majorBidi"/>
        <w:kern w:val="2"/>
        <w:sz w:val="18"/>
        <w:szCs w:val="18"/>
        <w:lang w:eastAsia="ja-JP"/>
        <w14:ligatures w14:val="standardContextual"/>
      </w:rPr>
      <w:t xml:space="preserve"> </w:t>
    </w:r>
    <w:r>
      <w:rPr>
        <w:rFonts w:asciiTheme="majorBidi" w:eastAsia="Yu Gothic" w:hAnsiTheme="majorBidi" w:cstheme="majorBidi"/>
        <w:kern w:val="2"/>
        <w:sz w:val="18"/>
        <w:szCs w:val="18"/>
        <w:lang w:eastAsia="ja-JP"/>
        <w14:ligatures w14:val="standardContextual"/>
      </w:rPr>
      <w:t xml:space="preserve">OF </w:t>
    </w:r>
    <w:r w:rsidRPr="00D06BA6">
      <w:rPr>
        <w:rFonts w:asciiTheme="majorBidi" w:eastAsia="Yu Gothic" w:hAnsiTheme="majorBidi" w:cstheme="majorBidi"/>
        <w:kern w:val="2"/>
        <w:sz w:val="18"/>
        <w:szCs w:val="18"/>
        <w:lang w:eastAsia="ja-JP"/>
        <w14:ligatures w14:val="standardContextual"/>
      </w:rPr>
      <w:t xml:space="preserve"> </w:t>
    </w:r>
    <w:r>
      <w:rPr>
        <w:rFonts w:asciiTheme="majorBidi" w:eastAsia="Yu Gothic" w:hAnsiTheme="majorBidi" w:cstheme="majorBidi"/>
        <w:kern w:val="2"/>
        <w:sz w:val="18"/>
        <w:szCs w:val="18"/>
        <w:lang w:eastAsia="ja-JP"/>
        <w14:ligatures w14:val="standardContextual"/>
      </w:rPr>
      <w:t xml:space="preserve">HEAMATOLOGICAL </w:t>
    </w:r>
    <w:r w:rsidRPr="00D06BA6">
      <w:rPr>
        <w:rFonts w:asciiTheme="majorBidi" w:eastAsia="Yu Gothic" w:hAnsiTheme="majorBidi" w:cstheme="majorBidi"/>
        <w:kern w:val="2"/>
        <w:sz w:val="18"/>
        <w:szCs w:val="18"/>
        <w:lang w:eastAsia="ja-JP"/>
        <w14:ligatures w14:val="standardContextual"/>
      </w:rPr>
      <w:t xml:space="preserve"> </w:t>
    </w:r>
    <w:r>
      <w:rPr>
        <w:rFonts w:asciiTheme="majorBidi" w:eastAsia="Yu Gothic" w:hAnsiTheme="majorBidi" w:cstheme="majorBidi"/>
        <w:kern w:val="2"/>
        <w:sz w:val="18"/>
        <w:szCs w:val="18"/>
        <w:lang w:eastAsia="ja-JP"/>
        <w14:ligatures w14:val="standardContextual"/>
      </w:rPr>
      <w:t>SAFETY</w:t>
    </w:r>
    <w:r w:rsidRPr="00D06BA6">
      <w:rPr>
        <w:rFonts w:asciiTheme="majorBidi" w:eastAsia="Yu Gothic" w:hAnsiTheme="majorBidi" w:cstheme="majorBidi"/>
        <w:kern w:val="2"/>
        <w:sz w:val="18"/>
        <w:szCs w:val="18"/>
        <w:lang w:eastAsia="ja-JP"/>
        <w14:ligatures w14:val="standardContextual"/>
      </w:rPr>
      <w:t xml:space="preserve"> </w:t>
    </w:r>
    <w:r>
      <w:rPr>
        <w:rFonts w:asciiTheme="majorBidi" w:eastAsia="Yu Gothic" w:hAnsiTheme="majorBidi" w:cstheme="majorBidi"/>
        <w:kern w:val="2"/>
        <w:sz w:val="18"/>
        <w:szCs w:val="18"/>
        <w:lang w:eastAsia="ja-JP"/>
        <w14:ligatures w14:val="standardContextual"/>
      </w:rPr>
      <w:t xml:space="preserve">OF </w:t>
    </w:r>
    <w:r w:rsidRPr="00D06BA6">
      <w:rPr>
        <w:rFonts w:asciiTheme="majorBidi" w:eastAsia="Yu Gothic" w:hAnsiTheme="majorBidi" w:cstheme="majorBidi"/>
        <w:kern w:val="2"/>
        <w:sz w:val="18"/>
        <w:szCs w:val="18"/>
        <w:lang w:eastAsia="ja-JP"/>
        <w14:ligatures w14:val="standardContextual"/>
      </w:rPr>
      <w:t xml:space="preserve"> </w:t>
    </w:r>
    <w:r>
      <w:rPr>
        <w:rFonts w:asciiTheme="majorBidi" w:eastAsia="Yu Gothic" w:hAnsiTheme="majorBidi" w:cstheme="majorBidi"/>
        <w:kern w:val="2"/>
        <w:sz w:val="18"/>
        <w:szCs w:val="18"/>
        <w:lang w:eastAsia="ja-JP"/>
        <w14:ligatures w14:val="standardContextual"/>
      </w:rPr>
      <w:t xml:space="preserve">VINCA ROSEUS </w:t>
    </w:r>
    <w:r w:rsidRPr="00D06BA6">
      <w:rPr>
        <w:rFonts w:asciiTheme="majorBidi" w:eastAsia="Yu Gothic" w:hAnsiTheme="majorBidi" w:cstheme="majorBidi"/>
        <w:kern w:val="2"/>
        <w:sz w:val="18"/>
        <w:szCs w:val="18"/>
        <w:lang w:eastAsia="ja-JP"/>
        <w14:ligatures w14:val="standardContextual"/>
      </w:rPr>
      <w:t xml:space="preserve"> </w:t>
    </w:r>
    <w:r>
      <w:rPr>
        <w:rFonts w:asciiTheme="majorBidi" w:eastAsia="Yu Gothic" w:hAnsiTheme="majorBidi" w:cstheme="majorBidi"/>
        <w:kern w:val="2"/>
        <w:sz w:val="18"/>
        <w:szCs w:val="18"/>
        <w:lang w:eastAsia="ja-JP"/>
        <w14:ligatures w14:val="standardContextual"/>
      </w:rPr>
      <w:t xml:space="preserve">LEAVES EXTRACT IN </w:t>
    </w:r>
    <w:r w:rsidRPr="00D06BA6">
      <w:rPr>
        <w:rFonts w:asciiTheme="majorBidi" w:eastAsia="Yu Gothic" w:hAnsiTheme="majorBidi" w:cstheme="majorBidi"/>
        <w:kern w:val="2"/>
        <w:sz w:val="18"/>
        <w:szCs w:val="18"/>
        <w:lang w:eastAsia="ja-JP"/>
        <w14:ligatures w14:val="standardContextual"/>
      </w:rPr>
      <w:t xml:space="preserve"> DMH-</w:t>
    </w:r>
    <w:r>
      <w:rPr>
        <w:rFonts w:asciiTheme="majorBidi" w:eastAsia="Yu Gothic" w:hAnsiTheme="majorBidi" w:cstheme="majorBidi"/>
        <w:kern w:val="2"/>
        <w:sz w:val="18"/>
        <w:szCs w:val="18"/>
        <w:lang w:eastAsia="ja-JP"/>
        <w14:ligatures w14:val="standardContextual"/>
      </w:rPr>
      <w:t>INDUCED</w:t>
    </w:r>
    <w:r w:rsidRPr="00D06BA6">
      <w:rPr>
        <w:rFonts w:asciiTheme="majorBidi" w:eastAsia="Yu Gothic" w:hAnsiTheme="majorBidi" w:cstheme="majorBidi"/>
        <w:kern w:val="2"/>
        <w:sz w:val="18"/>
        <w:szCs w:val="18"/>
        <w:lang w:eastAsia="ja-JP"/>
        <w14:ligatures w14:val="standardContextual"/>
      </w:rPr>
      <w:t xml:space="preserve"> </w:t>
    </w:r>
    <w:r>
      <w:rPr>
        <w:rFonts w:asciiTheme="majorBidi" w:eastAsia="Yu Gothic" w:hAnsiTheme="majorBidi" w:cstheme="majorBidi"/>
        <w:kern w:val="2"/>
        <w:sz w:val="18"/>
        <w:szCs w:val="18"/>
        <w:lang w:eastAsia="ja-JP"/>
        <w14:ligatures w14:val="standardContextual"/>
      </w:rPr>
      <w:t>COLORECTAL CANCER IN RATS.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lvlText w:val="%1."/>
      <w:lvlJc w:val="left"/>
      <w:pPr>
        <w:tabs>
          <w:tab w:val="num" w:pos="360"/>
        </w:tabs>
        <w:ind w:left="360" w:hanging="360"/>
      </w:pPr>
      <w:rPr>
        <w:rFonts w:ascii="Times New Roman" w:hAnsi="Times New Roman" w:hint="default"/>
        <w:b w:val="0"/>
        <w:i w:val="0"/>
        <w:sz w:val="22"/>
      </w:rPr>
    </w:lvl>
  </w:abstractNum>
  <w:abstractNum w:abstractNumId="1" w15:restartNumberingAfterBreak="0">
    <w:nsid w:val="029406AF"/>
    <w:multiLevelType w:val="multilevel"/>
    <w:tmpl w:val="FF68E740"/>
    <w:lvl w:ilvl="0">
      <w:start w:val="1"/>
      <w:numFmt w:val="decimal"/>
      <w:lvlText w:val="%1."/>
      <w:lvlJc w:val="left"/>
      <w:pPr>
        <w:tabs>
          <w:tab w:val="num" w:pos="360"/>
        </w:tabs>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056A6E45"/>
    <w:multiLevelType w:val="multilevel"/>
    <w:tmpl w:val="48E2567A"/>
    <w:lvl w:ilvl="0">
      <w:start w:val="1"/>
      <w:numFmt w:val="none"/>
      <w:lvlText w:val="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BB178C"/>
    <w:multiLevelType w:val="multilevel"/>
    <w:tmpl w:val="2F1A46F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pStyle w:val="Els-5thorder-head"/>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15:restartNumberingAfterBreak="0">
    <w:nsid w:val="11065298"/>
    <w:multiLevelType w:val="hybridMultilevel"/>
    <w:tmpl w:val="5DB0A140"/>
    <w:lvl w:ilvl="0" w:tplc="BB96E71C">
      <w:start w:val="1"/>
      <w:numFmt w:val="decimal"/>
      <w:lvlText w:val="%1-"/>
      <w:lvlJc w:val="left"/>
      <w:pPr>
        <w:ind w:left="720" w:hanging="360"/>
      </w:pPr>
      <w:rPr>
        <w:rFonts w:hint="default"/>
      </w:rPr>
    </w:lvl>
    <w:lvl w:ilvl="1" w:tplc="AB0C9E4A" w:tentative="1">
      <w:start w:val="1"/>
      <w:numFmt w:val="lowerLetter"/>
      <w:lvlText w:val="%2."/>
      <w:lvlJc w:val="left"/>
      <w:pPr>
        <w:ind w:left="1440" w:hanging="360"/>
      </w:pPr>
    </w:lvl>
    <w:lvl w:ilvl="2" w:tplc="E2BA82F4" w:tentative="1">
      <w:start w:val="1"/>
      <w:numFmt w:val="lowerRoman"/>
      <w:lvlText w:val="%3."/>
      <w:lvlJc w:val="right"/>
      <w:pPr>
        <w:ind w:left="2160" w:hanging="180"/>
      </w:pPr>
    </w:lvl>
    <w:lvl w:ilvl="3" w:tplc="650259FE" w:tentative="1">
      <w:start w:val="1"/>
      <w:numFmt w:val="decimal"/>
      <w:lvlText w:val="%4."/>
      <w:lvlJc w:val="left"/>
      <w:pPr>
        <w:ind w:left="2880" w:hanging="360"/>
      </w:pPr>
    </w:lvl>
    <w:lvl w:ilvl="4" w:tplc="EE40C0E2" w:tentative="1">
      <w:start w:val="1"/>
      <w:numFmt w:val="lowerLetter"/>
      <w:lvlText w:val="%5."/>
      <w:lvlJc w:val="left"/>
      <w:pPr>
        <w:ind w:left="3600" w:hanging="360"/>
      </w:pPr>
    </w:lvl>
    <w:lvl w:ilvl="5" w:tplc="1B980CBC" w:tentative="1">
      <w:start w:val="1"/>
      <w:numFmt w:val="lowerRoman"/>
      <w:lvlText w:val="%6."/>
      <w:lvlJc w:val="right"/>
      <w:pPr>
        <w:ind w:left="4320" w:hanging="180"/>
      </w:pPr>
    </w:lvl>
    <w:lvl w:ilvl="6" w:tplc="0C8A71FE" w:tentative="1">
      <w:start w:val="1"/>
      <w:numFmt w:val="decimal"/>
      <w:lvlText w:val="%7."/>
      <w:lvlJc w:val="left"/>
      <w:pPr>
        <w:ind w:left="5040" w:hanging="360"/>
      </w:pPr>
    </w:lvl>
    <w:lvl w:ilvl="7" w:tplc="93B030F8" w:tentative="1">
      <w:start w:val="1"/>
      <w:numFmt w:val="lowerLetter"/>
      <w:lvlText w:val="%8."/>
      <w:lvlJc w:val="left"/>
      <w:pPr>
        <w:ind w:left="5760" w:hanging="360"/>
      </w:pPr>
    </w:lvl>
    <w:lvl w:ilvl="8" w:tplc="FA7AA47C" w:tentative="1">
      <w:start w:val="1"/>
      <w:numFmt w:val="lowerRoman"/>
      <w:lvlText w:val="%9."/>
      <w:lvlJc w:val="right"/>
      <w:pPr>
        <w:ind w:left="6480" w:hanging="180"/>
      </w:pPr>
    </w:lvl>
  </w:abstractNum>
  <w:abstractNum w:abstractNumId="5"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640576"/>
    <w:multiLevelType w:val="multilevel"/>
    <w:tmpl w:val="85E2D3C8"/>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2E0393"/>
    <w:multiLevelType w:val="multilevel"/>
    <w:tmpl w:val="1BB8C0B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8" w15:restartNumberingAfterBreak="0">
    <w:nsid w:val="1DC55697"/>
    <w:multiLevelType w:val="multilevel"/>
    <w:tmpl w:val="8B00EF3A"/>
    <w:lvl w:ilvl="0">
      <w:start w:val="1"/>
      <w:numFmt w:val="none"/>
      <w:lvlText w:val="2.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C67271"/>
    <w:multiLevelType w:val="hybridMultilevel"/>
    <w:tmpl w:val="6F36E0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F1856"/>
    <w:multiLevelType w:val="hybridMultilevel"/>
    <w:tmpl w:val="E9D401C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70130"/>
    <w:multiLevelType w:val="singleLevel"/>
    <w:tmpl w:val="FB3CB4A8"/>
    <w:lvl w:ilvl="0">
      <w:start w:val="1"/>
      <w:numFmt w:val="decimal"/>
      <w:lvlText w:val="[%1]"/>
      <w:lvlJc w:val="left"/>
      <w:pPr>
        <w:tabs>
          <w:tab w:val="num" w:pos="360"/>
        </w:tabs>
        <w:ind w:left="312" w:hanging="312"/>
      </w:pPr>
    </w:lvl>
  </w:abstractNum>
  <w:abstractNum w:abstractNumId="12" w15:restartNumberingAfterBreak="0">
    <w:nsid w:val="29322B9F"/>
    <w:multiLevelType w:val="multilevel"/>
    <w:tmpl w:val="0B202A80"/>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3" w15:restartNumberingAfterBreak="0">
    <w:nsid w:val="2B650F1A"/>
    <w:multiLevelType w:val="multilevel"/>
    <w:tmpl w:val="513C00CE"/>
    <w:lvl w:ilvl="0">
      <w:start w:val="1"/>
      <w:numFmt w:val="none"/>
      <w:lvlText w:val="2.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5A7AED"/>
    <w:multiLevelType w:val="singleLevel"/>
    <w:tmpl w:val="4B6A93D8"/>
    <w:lvl w:ilvl="0">
      <w:start w:val="1"/>
      <w:numFmt w:val="decimal"/>
      <w:lvlText w:val="%1."/>
      <w:lvlJc w:val="left"/>
      <w:pPr>
        <w:tabs>
          <w:tab w:val="num" w:pos="360"/>
        </w:tabs>
        <w:ind w:left="312" w:hanging="312"/>
      </w:pPr>
    </w:lvl>
  </w:abstractNum>
  <w:abstractNum w:abstractNumId="15" w15:restartNumberingAfterBreak="0">
    <w:nsid w:val="2FF46D20"/>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abstractNum w:abstractNumId="16" w15:restartNumberingAfterBreak="0">
    <w:nsid w:val="3C7761B5"/>
    <w:multiLevelType w:val="hybridMultilevel"/>
    <w:tmpl w:val="3674827A"/>
    <w:lvl w:ilvl="0" w:tplc="6F742A26">
      <w:start w:val="1"/>
      <w:numFmt w:val="decimal"/>
      <w:lvlText w:val="%1-"/>
      <w:lvlJc w:val="left"/>
      <w:pPr>
        <w:ind w:left="720" w:hanging="360"/>
      </w:pPr>
      <w:rPr>
        <w:rFonts w:hint="default"/>
      </w:rPr>
    </w:lvl>
    <w:lvl w:ilvl="1" w:tplc="5F0CCE92" w:tentative="1">
      <w:start w:val="1"/>
      <w:numFmt w:val="lowerLetter"/>
      <w:lvlText w:val="%2."/>
      <w:lvlJc w:val="left"/>
      <w:pPr>
        <w:ind w:left="1440" w:hanging="360"/>
      </w:pPr>
    </w:lvl>
    <w:lvl w:ilvl="2" w:tplc="69A6841C" w:tentative="1">
      <w:start w:val="1"/>
      <w:numFmt w:val="lowerRoman"/>
      <w:lvlText w:val="%3."/>
      <w:lvlJc w:val="right"/>
      <w:pPr>
        <w:ind w:left="2160" w:hanging="180"/>
      </w:pPr>
    </w:lvl>
    <w:lvl w:ilvl="3" w:tplc="C8D2946C" w:tentative="1">
      <w:start w:val="1"/>
      <w:numFmt w:val="decimal"/>
      <w:lvlText w:val="%4."/>
      <w:lvlJc w:val="left"/>
      <w:pPr>
        <w:ind w:left="2880" w:hanging="360"/>
      </w:pPr>
    </w:lvl>
    <w:lvl w:ilvl="4" w:tplc="5866A91E" w:tentative="1">
      <w:start w:val="1"/>
      <w:numFmt w:val="lowerLetter"/>
      <w:lvlText w:val="%5."/>
      <w:lvlJc w:val="left"/>
      <w:pPr>
        <w:ind w:left="3600" w:hanging="360"/>
      </w:pPr>
    </w:lvl>
    <w:lvl w:ilvl="5" w:tplc="7772D4D0" w:tentative="1">
      <w:start w:val="1"/>
      <w:numFmt w:val="lowerRoman"/>
      <w:lvlText w:val="%6."/>
      <w:lvlJc w:val="right"/>
      <w:pPr>
        <w:ind w:left="4320" w:hanging="180"/>
      </w:pPr>
    </w:lvl>
    <w:lvl w:ilvl="6" w:tplc="B9C8A0C8" w:tentative="1">
      <w:start w:val="1"/>
      <w:numFmt w:val="decimal"/>
      <w:lvlText w:val="%7."/>
      <w:lvlJc w:val="left"/>
      <w:pPr>
        <w:ind w:left="5040" w:hanging="360"/>
      </w:pPr>
    </w:lvl>
    <w:lvl w:ilvl="7" w:tplc="A11C1FA4" w:tentative="1">
      <w:start w:val="1"/>
      <w:numFmt w:val="lowerLetter"/>
      <w:lvlText w:val="%8."/>
      <w:lvlJc w:val="left"/>
      <w:pPr>
        <w:ind w:left="5760" w:hanging="360"/>
      </w:pPr>
    </w:lvl>
    <w:lvl w:ilvl="8" w:tplc="5630CF98" w:tentative="1">
      <w:start w:val="1"/>
      <w:numFmt w:val="lowerRoman"/>
      <w:lvlText w:val="%9."/>
      <w:lvlJc w:val="right"/>
      <w:pPr>
        <w:ind w:left="6480" w:hanging="180"/>
      </w:pPr>
    </w:lvl>
  </w:abstractNum>
  <w:abstractNum w:abstractNumId="17" w15:restartNumberingAfterBreak="0">
    <w:nsid w:val="3D4C496F"/>
    <w:multiLevelType w:val="singleLevel"/>
    <w:tmpl w:val="EA160DFC"/>
    <w:lvl w:ilvl="0">
      <w:start w:val="1"/>
      <w:numFmt w:val="upperLetter"/>
      <w:lvlText w:val="%1."/>
      <w:lvlJc w:val="left"/>
      <w:pPr>
        <w:tabs>
          <w:tab w:val="num" w:pos="360"/>
        </w:tabs>
        <w:ind w:left="360" w:hanging="360"/>
      </w:pPr>
      <w:rPr>
        <w:rFonts w:hint="default"/>
      </w:rPr>
    </w:lvl>
  </w:abstractNum>
  <w:abstractNum w:abstractNumId="18" w15:restartNumberingAfterBreak="0">
    <w:nsid w:val="45E103F5"/>
    <w:multiLevelType w:val="multilevel"/>
    <w:tmpl w:val="B1EE9286"/>
    <w:lvl w:ilvl="0">
      <w:start w:val="1"/>
      <w:numFmt w:val="none"/>
      <w:lvlText w:val="2.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356A4"/>
    <w:multiLevelType w:val="hybridMultilevel"/>
    <w:tmpl w:val="140EAB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7E7170"/>
    <w:multiLevelType w:val="multilevel"/>
    <w:tmpl w:val="859E6656"/>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21" w15:restartNumberingAfterBreak="0">
    <w:nsid w:val="540F79F2"/>
    <w:multiLevelType w:val="multilevel"/>
    <w:tmpl w:val="6BA2B45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A25F81"/>
    <w:multiLevelType w:val="hybridMultilevel"/>
    <w:tmpl w:val="367CB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205803"/>
    <w:multiLevelType w:val="multilevel"/>
    <w:tmpl w:val="AA9EF6E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4" w15:restartNumberingAfterBreak="0">
    <w:nsid w:val="5E3E37E6"/>
    <w:multiLevelType w:val="multilevel"/>
    <w:tmpl w:val="D22ED478"/>
    <w:lvl w:ilvl="0">
      <w:start w:val="1"/>
      <w:numFmt w:val="none"/>
      <w:lvlText w:val="2.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827A20"/>
    <w:multiLevelType w:val="multilevel"/>
    <w:tmpl w:val="D1402454"/>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6" w15:restartNumberingAfterBreak="0">
    <w:nsid w:val="6890204F"/>
    <w:multiLevelType w:val="multilevel"/>
    <w:tmpl w:val="527E4686"/>
    <w:lvl w:ilvl="0">
      <w:start w:val="1"/>
      <w:numFmt w:val="none"/>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245DEC"/>
    <w:multiLevelType w:val="hybridMultilevel"/>
    <w:tmpl w:val="C2E43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8A27F2"/>
    <w:multiLevelType w:val="hybridMultilevel"/>
    <w:tmpl w:val="546C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23A1F"/>
    <w:multiLevelType w:val="multilevel"/>
    <w:tmpl w:val="193C7D78"/>
    <w:lvl w:ilvl="0">
      <w:start w:val="1"/>
      <w:numFmt w:val="none"/>
      <w:lvlText w:val="2.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31"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72551427">
    <w:abstractNumId w:val="23"/>
  </w:num>
  <w:num w:numId="2" w16cid:durableId="1622150637">
    <w:abstractNumId w:val="12"/>
  </w:num>
  <w:num w:numId="3" w16cid:durableId="1549881158">
    <w:abstractNumId w:val="25"/>
  </w:num>
  <w:num w:numId="4" w16cid:durableId="785273610">
    <w:abstractNumId w:val="7"/>
  </w:num>
  <w:num w:numId="5" w16cid:durableId="2003308918">
    <w:abstractNumId w:val="20"/>
  </w:num>
  <w:num w:numId="6" w16cid:durableId="1432361552">
    <w:abstractNumId w:val="31"/>
  </w:num>
  <w:num w:numId="7" w16cid:durableId="2046905688">
    <w:abstractNumId w:val="0"/>
  </w:num>
  <w:num w:numId="8" w16cid:durableId="910895621">
    <w:abstractNumId w:val="30"/>
  </w:num>
  <w:num w:numId="9" w16cid:durableId="1512451305">
    <w:abstractNumId w:val="14"/>
  </w:num>
  <w:num w:numId="10" w16cid:durableId="710036126">
    <w:abstractNumId w:val="15"/>
  </w:num>
  <w:num w:numId="11" w16cid:durableId="1431927308">
    <w:abstractNumId w:val="11"/>
  </w:num>
  <w:num w:numId="12" w16cid:durableId="1156847886">
    <w:abstractNumId w:val="17"/>
  </w:num>
  <w:num w:numId="13" w16cid:durableId="400443365">
    <w:abstractNumId w:val="1"/>
  </w:num>
  <w:num w:numId="14" w16cid:durableId="1266840514">
    <w:abstractNumId w:val="20"/>
  </w:num>
  <w:num w:numId="15" w16cid:durableId="1845439823">
    <w:abstractNumId w:val="20"/>
  </w:num>
  <w:num w:numId="16" w16cid:durableId="1893496772">
    <w:abstractNumId w:val="20"/>
  </w:num>
  <w:num w:numId="17" w16cid:durableId="147795319">
    <w:abstractNumId w:val="3"/>
  </w:num>
  <w:num w:numId="18" w16cid:durableId="2017732630">
    <w:abstractNumId w:val="5"/>
  </w:num>
  <w:num w:numId="19" w16cid:durableId="1522627071">
    <w:abstractNumId w:val="23"/>
  </w:num>
  <w:num w:numId="20" w16cid:durableId="601112085">
    <w:abstractNumId w:val="23"/>
  </w:num>
  <w:num w:numId="21" w16cid:durableId="538324607">
    <w:abstractNumId w:val="23"/>
  </w:num>
  <w:num w:numId="22" w16cid:durableId="710567705">
    <w:abstractNumId w:val="23"/>
  </w:num>
  <w:num w:numId="23" w16cid:durableId="713770457">
    <w:abstractNumId w:val="23"/>
  </w:num>
  <w:num w:numId="24" w16cid:durableId="1688555329">
    <w:abstractNumId w:val="23"/>
  </w:num>
  <w:num w:numId="25" w16cid:durableId="1268735578">
    <w:abstractNumId w:val="23"/>
  </w:num>
  <w:num w:numId="26" w16cid:durableId="1269971658">
    <w:abstractNumId w:val="9"/>
  </w:num>
  <w:num w:numId="27" w16cid:durableId="1187718721">
    <w:abstractNumId w:val="28"/>
  </w:num>
  <w:num w:numId="28" w16cid:durableId="601762461">
    <w:abstractNumId w:val="10"/>
  </w:num>
  <w:num w:numId="29" w16cid:durableId="80566115">
    <w:abstractNumId w:val="22"/>
  </w:num>
  <w:num w:numId="30" w16cid:durableId="752556411">
    <w:abstractNumId w:val="19"/>
  </w:num>
  <w:num w:numId="31" w16cid:durableId="372510928">
    <w:abstractNumId w:val="16"/>
  </w:num>
  <w:num w:numId="32" w16cid:durableId="1170758517">
    <w:abstractNumId w:val="21"/>
  </w:num>
  <w:num w:numId="33" w16cid:durableId="2002540850">
    <w:abstractNumId w:val="26"/>
  </w:num>
  <w:num w:numId="34" w16cid:durableId="1467966507">
    <w:abstractNumId w:val="6"/>
  </w:num>
  <w:num w:numId="35" w16cid:durableId="1874345911">
    <w:abstractNumId w:val="2"/>
  </w:num>
  <w:num w:numId="36" w16cid:durableId="1949971576">
    <w:abstractNumId w:val="24"/>
  </w:num>
  <w:num w:numId="37" w16cid:durableId="1881621938">
    <w:abstractNumId w:val="13"/>
  </w:num>
  <w:num w:numId="38" w16cid:durableId="130246660">
    <w:abstractNumId w:val="18"/>
  </w:num>
  <w:num w:numId="39" w16cid:durableId="458380255">
    <w:abstractNumId w:val="8"/>
  </w:num>
  <w:num w:numId="40" w16cid:durableId="190187941">
    <w:abstractNumId w:val="29"/>
  </w:num>
  <w:num w:numId="41" w16cid:durableId="912197257">
    <w:abstractNumId w:val="4"/>
  </w:num>
  <w:num w:numId="42" w16cid:durableId="19539725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TrueType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0etfvw0vx2rxeas51ppx2udswf5rra0x99&quot;&gt;CBC9 NOV202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4&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7&lt;/item&gt;&lt;/record-ids&gt;&lt;/item&gt;&lt;/Libraries&gt;"/>
  </w:docVars>
  <w:rsids>
    <w:rsidRoot w:val="004451D5"/>
    <w:rsid w:val="00010BD9"/>
    <w:rsid w:val="00020231"/>
    <w:rsid w:val="00021E81"/>
    <w:rsid w:val="00021EE5"/>
    <w:rsid w:val="00026ABD"/>
    <w:rsid w:val="000324CC"/>
    <w:rsid w:val="0004173D"/>
    <w:rsid w:val="00053F38"/>
    <w:rsid w:val="00054109"/>
    <w:rsid w:val="00054F53"/>
    <w:rsid w:val="0006575F"/>
    <w:rsid w:val="00066702"/>
    <w:rsid w:val="00071B30"/>
    <w:rsid w:val="00075F18"/>
    <w:rsid w:val="0008056B"/>
    <w:rsid w:val="000816D3"/>
    <w:rsid w:val="00086B5A"/>
    <w:rsid w:val="00095911"/>
    <w:rsid w:val="00095F51"/>
    <w:rsid w:val="000B2827"/>
    <w:rsid w:val="000B5D6F"/>
    <w:rsid w:val="000B64A9"/>
    <w:rsid w:val="000B6742"/>
    <w:rsid w:val="000C354A"/>
    <w:rsid w:val="000C5966"/>
    <w:rsid w:val="000E6C39"/>
    <w:rsid w:val="000F0350"/>
    <w:rsid w:val="001050D5"/>
    <w:rsid w:val="00106749"/>
    <w:rsid w:val="00113519"/>
    <w:rsid w:val="001200C0"/>
    <w:rsid w:val="00124452"/>
    <w:rsid w:val="00131420"/>
    <w:rsid w:val="00136E59"/>
    <w:rsid w:val="001557C8"/>
    <w:rsid w:val="001638A8"/>
    <w:rsid w:val="00163DF2"/>
    <w:rsid w:val="0017008F"/>
    <w:rsid w:val="0017101B"/>
    <w:rsid w:val="001768BC"/>
    <w:rsid w:val="00181020"/>
    <w:rsid w:val="001841A1"/>
    <w:rsid w:val="00187D91"/>
    <w:rsid w:val="00187F20"/>
    <w:rsid w:val="00191099"/>
    <w:rsid w:val="00195797"/>
    <w:rsid w:val="001A01EF"/>
    <w:rsid w:val="001A4F54"/>
    <w:rsid w:val="001A75AB"/>
    <w:rsid w:val="001B38D1"/>
    <w:rsid w:val="001B6D89"/>
    <w:rsid w:val="001C02CA"/>
    <w:rsid w:val="001D7E29"/>
    <w:rsid w:val="001E0A3F"/>
    <w:rsid w:val="001E242C"/>
    <w:rsid w:val="001E3A2D"/>
    <w:rsid w:val="001F412F"/>
    <w:rsid w:val="001F7A95"/>
    <w:rsid w:val="002001F0"/>
    <w:rsid w:val="00230793"/>
    <w:rsid w:val="00233292"/>
    <w:rsid w:val="00233AF4"/>
    <w:rsid w:val="0023507E"/>
    <w:rsid w:val="00244020"/>
    <w:rsid w:val="002501DF"/>
    <w:rsid w:val="00252D62"/>
    <w:rsid w:val="00257DA3"/>
    <w:rsid w:val="00260EE4"/>
    <w:rsid w:val="00271853"/>
    <w:rsid w:val="00271AF2"/>
    <w:rsid w:val="002725B5"/>
    <w:rsid w:val="00281CEB"/>
    <w:rsid w:val="00293EEF"/>
    <w:rsid w:val="002A099D"/>
    <w:rsid w:val="002A3C75"/>
    <w:rsid w:val="002A58C0"/>
    <w:rsid w:val="002C4FAE"/>
    <w:rsid w:val="002D77BC"/>
    <w:rsid w:val="002E2C50"/>
    <w:rsid w:val="002E4555"/>
    <w:rsid w:val="002E5199"/>
    <w:rsid w:val="002F2F41"/>
    <w:rsid w:val="002F3198"/>
    <w:rsid w:val="002F48AB"/>
    <w:rsid w:val="002F6AD7"/>
    <w:rsid w:val="00301D39"/>
    <w:rsid w:val="003055DA"/>
    <w:rsid w:val="00315A7A"/>
    <w:rsid w:val="00317F79"/>
    <w:rsid w:val="00320726"/>
    <w:rsid w:val="00321D51"/>
    <w:rsid w:val="00322ADA"/>
    <w:rsid w:val="00322FC8"/>
    <w:rsid w:val="00334BD6"/>
    <w:rsid w:val="0034524E"/>
    <w:rsid w:val="00350DDE"/>
    <w:rsid w:val="00352215"/>
    <w:rsid w:val="00355F14"/>
    <w:rsid w:val="0035755C"/>
    <w:rsid w:val="00365CFC"/>
    <w:rsid w:val="0036661C"/>
    <w:rsid w:val="00384C8A"/>
    <w:rsid w:val="00391DE5"/>
    <w:rsid w:val="003B03D7"/>
    <w:rsid w:val="003B4CE6"/>
    <w:rsid w:val="003B735A"/>
    <w:rsid w:val="003C447B"/>
    <w:rsid w:val="003C7015"/>
    <w:rsid w:val="003D0E9B"/>
    <w:rsid w:val="003D1324"/>
    <w:rsid w:val="003D1999"/>
    <w:rsid w:val="003D1AF0"/>
    <w:rsid w:val="003D2726"/>
    <w:rsid w:val="003D42CC"/>
    <w:rsid w:val="003D63C9"/>
    <w:rsid w:val="003E2290"/>
    <w:rsid w:val="003E617C"/>
    <w:rsid w:val="003F49CF"/>
    <w:rsid w:val="003F79A4"/>
    <w:rsid w:val="00407645"/>
    <w:rsid w:val="004106F6"/>
    <w:rsid w:val="00413DDB"/>
    <w:rsid w:val="00426FE9"/>
    <w:rsid w:val="004271F8"/>
    <w:rsid w:val="00427D92"/>
    <w:rsid w:val="00432DAD"/>
    <w:rsid w:val="004451D5"/>
    <w:rsid w:val="00446333"/>
    <w:rsid w:val="00461148"/>
    <w:rsid w:val="00463AE6"/>
    <w:rsid w:val="00474925"/>
    <w:rsid w:val="00485DDF"/>
    <w:rsid w:val="00487B8B"/>
    <w:rsid w:val="00497F5C"/>
    <w:rsid w:val="004B011D"/>
    <w:rsid w:val="004B48E3"/>
    <w:rsid w:val="004B743F"/>
    <w:rsid w:val="004C29C3"/>
    <w:rsid w:val="004C4297"/>
    <w:rsid w:val="004C58D9"/>
    <w:rsid w:val="004D125E"/>
    <w:rsid w:val="004D2E13"/>
    <w:rsid w:val="004E5B34"/>
    <w:rsid w:val="004F1D36"/>
    <w:rsid w:val="004F448A"/>
    <w:rsid w:val="004F4711"/>
    <w:rsid w:val="00507036"/>
    <w:rsid w:val="0052069A"/>
    <w:rsid w:val="005260C6"/>
    <w:rsid w:val="00540A3E"/>
    <w:rsid w:val="005464A9"/>
    <w:rsid w:val="0055746D"/>
    <w:rsid w:val="00560620"/>
    <w:rsid w:val="005771D3"/>
    <w:rsid w:val="00586342"/>
    <w:rsid w:val="005904C8"/>
    <w:rsid w:val="005A4A2C"/>
    <w:rsid w:val="005B0723"/>
    <w:rsid w:val="005B160F"/>
    <w:rsid w:val="005B695D"/>
    <w:rsid w:val="005D51FC"/>
    <w:rsid w:val="005E4219"/>
    <w:rsid w:val="005E5656"/>
    <w:rsid w:val="005E7BFE"/>
    <w:rsid w:val="005E7F6E"/>
    <w:rsid w:val="005F2CA4"/>
    <w:rsid w:val="00602BD2"/>
    <w:rsid w:val="00621D55"/>
    <w:rsid w:val="00633E99"/>
    <w:rsid w:val="0063642F"/>
    <w:rsid w:val="00647026"/>
    <w:rsid w:val="006564E9"/>
    <w:rsid w:val="006674A8"/>
    <w:rsid w:val="006768DF"/>
    <w:rsid w:val="00677C19"/>
    <w:rsid w:val="00686CF0"/>
    <w:rsid w:val="006912EC"/>
    <w:rsid w:val="006A0401"/>
    <w:rsid w:val="006A17F6"/>
    <w:rsid w:val="006A41F5"/>
    <w:rsid w:val="006A6079"/>
    <w:rsid w:val="006B07FB"/>
    <w:rsid w:val="006B4849"/>
    <w:rsid w:val="006B591F"/>
    <w:rsid w:val="006B7CA3"/>
    <w:rsid w:val="006C42B8"/>
    <w:rsid w:val="006E0420"/>
    <w:rsid w:val="006F7C01"/>
    <w:rsid w:val="006F7C29"/>
    <w:rsid w:val="007020EB"/>
    <w:rsid w:val="00703463"/>
    <w:rsid w:val="007109D1"/>
    <w:rsid w:val="00712D16"/>
    <w:rsid w:val="00723348"/>
    <w:rsid w:val="007240F6"/>
    <w:rsid w:val="007251C3"/>
    <w:rsid w:val="0073350C"/>
    <w:rsid w:val="007405C0"/>
    <w:rsid w:val="007406AA"/>
    <w:rsid w:val="00741452"/>
    <w:rsid w:val="0074251D"/>
    <w:rsid w:val="0074496F"/>
    <w:rsid w:val="00761925"/>
    <w:rsid w:val="00761E0E"/>
    <w:rsid w:val="00764E2D"/>
    <w:rsid w:val="00774727"/>
    <w:rsid w:val="00777880"/>
    <w:rsid w:val="00787FDF"/>
    <w:rsid w:val="007927FB"/>
    <w:rsid w:val="00793C27"/>
    <w:rsid w:val="00793D4A"/>
    <w:rsid w:val="00795A34"/>
    <w:rsid w:val="007A1778"/>
    <w:rsid w:val="007A32BD"/>
    <w:rsid w:val="007B145F"/>
    <w:rsid w:val="007C5DF0"/>
    <w:rsid w:val="007D145D"/>
    <w:rsid w:val="007D457B"/>
    <w:rsid w:val="007E0D1E"/>
    <w:rsid w:val="007E1E3A"/>
    <w:rsid w:val="007E205B"/>
    <w:rsid w:val="007F0424"/>
    <w:rsid w:val="008066ED"/>
    <w:rsid w:val="00810E07"/>
    <w:rsid w:val="00813FBF"/>
    <w:rsid w:val="00814CF3"/>
    <w:rsid w:val="00834ADD"/>
    <w:rsid w:val="00845907"/>
    <w:rsid w:val="008516F8"/>
    <w:rsid w:val="00871ADF"/>
    <w:rsid w:val="00881EE6"/>
    <w:rsid w:val="008830D9"/>
    <w:rsid w:val="00890669"/>
    <w:rsid w:val="008906CA"/>
    <w:rsid w:val="00890AAE"/>
    <w:rsid w:val="008953B4"/>
    <w:rsid w:val="008A00E3"/>
    <w:rsid w:val="008A0EE4"/>
    <w:rsid w:val="008A1134"/>
    <w:rsid w:val="008A17A6"/>
    <w:rsid w:val="008A6D40"/>
    <w:rsid w:val="008B03D8"/>
    <w:rsid w:val="008B1D23"/>
    <w:rsid w:val="008B56CA"/>
    <w:rsid w:val="008C7214"/>
    <w:rsid w:val="008C7396"/>
    <w:rsid w:val="008E00F7"/>
    <w:rsid w:val="008F7E68"/>
    <w:rsid w:val="009106A5"/>
    <w:rsid w:val="0092693C"/>
    <w:rsid w:val="00933D88"/>
    <w:rsid w:val="009407C7"/>
    <w:rsid w:val="00942A48"/>
    <w:rsid w:val="0094627F"/>
    <w:rsid w:val="00951D25"/>
    <w:rsid w:val="009536D7"/>
    <w:rsid w:val="00953F2E"/>
    <w:rsid w:val="00956896"/>
    <w:rsid w:val="00967775"/>
    <w:rsid w:val="00992A38"/>
    <w:rsid w:val="009A4A09"/>
    <w:rsid w:val="009A50A0"/>
    <w:rsid w:val="009B0084"/>
    <w:rsid w:val="009C4A5F"/>
    <w:rsid w:val="009E2E3C"/>
    <w:rsid w:val="009E77E2"/>
    <w:rsid w:val="009F11E1"/>
    <w:rsid w:val="009F38C1"/>
    <w:rsid w:val="009F3924"/>
    <w:rsid w:val="009F6912"/>
    <w:rsid w:val="00A0658F"/>
    <w:rsid w:val="00A15C10"/>
    <w:rsid w:val="00A20819"/>
    <w:rsid w:val="00A212D2"/>
    <w:rsid w:val="00A31677"/>
    <w:rsid w:val="00A42807"/>
    <w:rsid w:val="00A6519D"/>
    <w:rsid w:val="00A6742C"/>
    <w:rsid w:val="00A809BC"/>
    <w:rsid w:val="00A81F25"/>
    <w:rsid w:val="00A825C3"/>
    <w:rsid w:val="00A93B2D"/>
    <w:rsid w:val="00A9572D"/>
    <w:rsid w:val="00AA09E0"/>
    <w:rsid w:val="00AB1AC7"/>
    <w:rsid w:val="00AB62A4"/>
    <w:rsid w:val="00AC305B"/>
    <w:rsid w:val="00AC5E65"/>
    <w:rsid w:val="00AE2085"/>
    <w:rsid w:val="00AE3F8C"/>
    <w:rsid w:val="00AF4CFD"/>
    <w:rsid w:val="00B00A0A"/>
    <w:rsid w:val="00B00EED"/>
    <w:rsid w:val="00B14624"/>
    <w:rsid w:val="00B14B80"/>
    <w:rsid w:val="00B20123"/>
    <w:rsid w:val="00B21016"/>
    <w:rsid w:val="00B23A15"/>
    <w:rsid w:val="00B259CC"/>
    <w:rsid w:val="00B26652"/>
    <w:rsid w:val="00B400D7"/>
    <w:rsid w:val="00B43216"/>
    <w:rsid w:val="00B451CB"/>
    <w:rsid w:val="00B55711"/>
    <w:rsid w:val="00B573CE"/>
    <w:rsid w:val="00B62041"/>
    <w:rsid w:val="00B80613"/>
    <w:rsid w:val="00B8145F"/>
    <w:rsid w:val="00B82698"/>
    <w:rsid w:val="00B90159"/>
    <w:rsid w:val="00B924E6"/>
    <w:rsid w:val="00B95DDC"/>
    <w:rsid w:val="00B96202"/>
    <w:rsid w:val="00BA5D39"/>
    <w:rsid w:val="00BB0EA0"/>
    <w:rsid w:val="00BB4740"/>
    <w:rsid w:val="00BC18A4"/>
    <w:rsid w:val="00BC19A4"/>
    <w:rsid w:val="00BC54F4"/>
    <w:rsid w:val="00BD4B68"/>
    <w:rsid w:val="00BE0507"/>
    <w:rsid w:val="00BF0D1B"/>
    <w:rsid w:val="00C04429"/>
    <w:rsid w:val="00C07837"/>
    <w:rsid w:val="00C10E5B"/>
    <w:rsid w:val="00C17F1E"/>
    <w:rsid w:val="00C21648"/>
    <w:rsid w:val="00C24389"/>
    <w:rsid w:val="00C312DD"/>
    <w:rsid w:val="00C31F3D"/>
    <w:rsid w:val="00C328AB"/>
    <w:rsid w:val="00C3399E"/>
    <w:rsid w:val="00C54105"/>
    <w:rsid w:val="00C54DD9"/>
    <w:rsid w:val="00C56711"/>
    <w:rsid w:val="00C56AAF"/>
    <w:rsid w:val="00C56DC6"/>
    <w:rsid w:val="00C710BE"/>
    <w:rsid w:val="00C72E3E"/>
    <w:rsid w:val="00C931CF"/>
    <w:rsid w:val="00C9351D"/>
    <w:rsid w:val="00C93C1C"/>
    <w:rsid w:val="00C94680"/>
    <w:rsid w:val="00CA047C"/>
    <w:rsid w:val="00CA42D5"/>
    <w:rsid w:val="00CA58E2"/>
    <w:rsid w:val="00CA61A8"/>
    <w:rsid w:val="00CB2977"/>
    <w:rsid w:val="00CB2DDF"/>
    <w:rsid w:val="00CB7CCB"/>
    <w:rsid w:val="00CC04A0"/>
    <w:rsid w:val="00CC09F3"/>
    <w:rsid w:val="00CC317D"/>
    <w:rsid w:val="00CD4705"/>
    <w:rsid w:val="00CF1086"/>
    <w:rsid w:val="00CF45D7"/>
    <w:rsid w:val="00CF4A7B"/>
    <w:rsid w:val="00D02F7E"/>
    <w:rsid w:val="00D06BA6"/>
    <w:rsid w:val="00D06FF2"/>
    <w:rsid w:val="00D10A3E"/>
    <w:rsid w:val="00D249C4"/>
    <w:rsid w:val="00D31D4F"/>
    <w:rsid w:val="00D33E9B"/>
    <w:rsid w:val="00D47157"/>
    <w:rsid w:val="00D51A2A"/>
    <w:rsid w:val="00D561F3"/>
    <w:rsid w:val="00D57193"/>
    <w:rsid w:val="00D82FAD"/>
    <w:rsid w:val="00D85926"/>
    <w:rsid w:val="00D87367"/>
    <w:rsid w:val="00D93FE4"/>
    <w:rsid w:val="00D95772"/>
    <w:rsid w:val="00DA1553"/>
    <w:rsid w:val="00DA490D"/>
    <w:rsid w:val="00DA4EBF"/>
    <w:rsid w:val="00DA518B"/>
    <w:rsid w:val="00DB3AE4"/>
    <w:rsid w:val="00DC4C63"/>
    <w:rsid w:val="00DD1D1A"/>
    <w:rsid w:val="00DD2D98"/>
    <w:rsid w:val="00DD41ED"/>
    <w:rsid w:val="00DD58D1"/>
    <w:rsid w:val="00DD5CEA"/>
    <w:rsid w:val="00DE1E51"/>
    <w:rsid w:val="00DE38F7"/>
    <w:rsid w:val="00DF524E"/>
    <w:rsid w:val="00DF6E6C"/>
    <w:rsid w:val="00E10C2D"/>
    <w:rsid w:val="00E21443"/>
    <w:rsid w:val="00E27D57"/>
    <w:rsid w:val="00E3259A"/>
    <w:rsid w:val="00E325A1"/>
    <w:rsid w:val="00E56D08"/>
    <w:rsid w:val="00E61850"/>
    <w:rsid w:val="00E652F3"/>
    <w:rsid w:val="00E844D2"/>
    <w:rsid w:val="00E8615A"/>
    <w:rsid w:val="00E93927"/>
    <w:rsid w:val="00EA17E9"/>
    <w:rsid w:val="00EA38F5"/>
    <w:rsid w:val="00EA55B2"/>
    <w:rsid w:val="00EB5670"/>
    <w:rsid w:val="00EC5320"/>
    <w:rsid w:val="00EC5D36"/>
    <w:rsid w:val="00EC7B40"/>
    <w:rsid w:val="00ED24EC"/>
    <w:rsid w:val="00ED624D"/>
    <w:rsid w:val="00EE6CD0"/>
    <w:rsid w:val="00EE7618"/>
    <w:rsid w:val="00EE7D91"/>
    <w:rsid w:val="00EF3B26"/>
    <w:rsid w:val="00EF3BBB"/>
    <w:rsid w:val="00F102DD"/>
    <w:rsid w:val="00F135D9"/>
    <w:rsid w:val="00F167B6"/>
    <w:rsid w:val="00F16C95"/>
    <w:rsid w:val="00F17477"/>
    <w:rsid w:val="00F17D00"/>
    <w:rsid w:val="00F202CD"/>
    <w:rsid w:val="00F27901"/>
    <w:rsid w:val="00F36AA5"/>
    <w:rsid w:val="00F4405B"/>
    <w:rsid w:val="00F47FFB"/>
    <w:rsid w:val="00F54006"/>
    <w:rsid w:val="00F71BA3"/>
    <w:rsid w:val="00F83912"/>
    <w:rsid w:val="00F839B2"/>
    <w:rsid w:val="00F84A65"/>
    <w:rsid w:val="00F87E24"/>
    <w:rsid w:val="00F97F3B"/>
    <w:rsid w:val="00FA4E9B"/>
    <w:rsid w:val="00FA5B73"/>
    <w:rsid w:val="00FC2648"/>
    <w:rsid w:val="00FE59AE"/>
    <w:rsid w:val="00FF6A4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1D9BF"/>
  <w15:docId w15:val="{738818D9-43A2-4A63-886F-DFE0A32D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420"/>
    <w:rPr>
      <w:lang w:val="en-GB" w:eastAsia="de-DE"/>
    </w:rPr>
  </w:style>
  <w:style w:type="paragraph" w:styleId="Heading1">
    <w:name w:val="heading 1"/>
    <w:basedOn w:val="Normal"/>
    <w:next w:val="Normal"/>
    <w:link w:val="Heading1Char"/>
    <w:uiPriority w:val="9"/>
    <w:qFormat/>
    <w:rsid w:val="001638A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131420"/>
    <w:pPr>
      <w:tabs>
        <w:tab w:val="center" w:pos="5040"/>
        <w:tab w:val="right" w:pos="10080"/>
      </w:tabs>
      <w:spacing w:line="200" w:lineRule="atLeast"/>
    </w:pPr>
    <w:rPr>
      <w:noProof/>
      <w:sz w:val="16"/>
      <w:lang w:val="de-DE" w:eastAsia="de-DE"/>
    </w:rPr>
  </w:style>
  <w:style w:type="paragraph" w:styleId="Footer">
    <w:name w:val="footer"/>
    <w:basedOn w:val="Header"/>
    <w:link w:val="FooterChar"/>
    <w:uiPriority w:val="99"/>
    <w:rsid w:val="00131420"/>
  </w:style>
  <w:style w:type="character" w:styleId="PageNumber">
    <w:name w:val="page number"/>
    <w:basedOn w:val="DefaultParagraphFont"/>
    <w:rsid w:val="00131420"/>
  </w:style>
  <w:style w:type="character" w:customStyle="1" w:styleId="MTEquationSection">
    <w:name w:val="MTEquationSection"/>
    <w:rsid w:val="00131420"/>
    <w:rPr>
      <w:vanish/>
      <w:color w:val="FF0000"/>
    </w:rPr>
  </w:style>
  <w:style w:type="paragraph" w:customStyle="1" w:styleId="Els-Title">
    <w:name w:val="Els-Title"/>
    <w:next w:val="Els-Author"/>
    <w:rsid w:val="00131420"/>
    <w:pPr>
      <w:suppressAutoHyphens/>
      <w:spacing w:before="1140" w:after="240" w:line="400" w:lineRule="exact"/>
      <w:jc w:val="center"/>
    </w:pPr>
    <w:rPr>
      <w:sz w:val="34"/>
      <w:lang w:eastAsia="de-DE"/>
    </w:rPr>
  </w:style>
  <w:style w:type="paragraph" w:customStyle="1" w:styleId="Els-Author">
    <w:name w:val="Els-Author"/>
    <w:next w:val="Els-Affiliation"/>
    <w:rsid w:val="00131420"/>
    <w:pPr>
      <w:keepNext/>
      <w:suppressAutoHyphens/>
      <w:spacing w:after="160" w:line="300" w:lineRule="exact"/>
      <w:jc w:val="center"/>
    </w:pPr>
    <w:rPr>
      <w:noProof/>
      <w:sz w:val="26"/>
      <w:lang w:val="de-DE" w:eastAsia="de-DE"/>
    </w:rPr>
  </w:style>
  <w:style w:type="paragraph" w:customStyle="1" w:styleId="Els-Affiliation">
    <w:name w:val="Els-Affiliation"/>
    <w:next w:val="Els-history"/>
    <w:rsid w:val="00131420"/>
    <w:pPr>
      <w:suppressAutoHyphens/>
      <w:spacing w:after="120" w:line="200" w:lineRule="exact"/>
      <w:jc w:val="center"/>
    </w:pPr>
    <w:rPr>
      <w:i/>
      <w:noProof/>
      <w:sz w:val="16"/>
      <w:lang w:val="de-DE" w:eastAsia="de-DE"/>
    </w:rPr>
  </w:style>
  <w:style w:type="paragraph" w:customStyle="1" w:styleId="Els-history">
    <w:name w:val="Els-history"/>
    <w:next w:val="Normal"/>
    <w:rsid w:val="00131420"/>
    <w:pPr>
      <w:spacing w:after="400" w:line="200" w:lineRule="exact"/>
      <w:jc w:val="center"/>
    </w:pPr>
    <w:rPr>
      <w:noProof/>
      <w:sz w:val="16"/>
      <w:lang w:val="de-DE" w:eastAsia="de-DE"/>
    </w:rPr>
  </w:style>
  <w:style w:type="paragraph" w:customStyle="1" w:styleId="Els-Abstract-text">
    <w:name w:val="Els-Abstract-text"/>
    <w:rsid w:val="00131420"/>
    <w:pPr>
      <w:spacing w:after="220" w:line="220" w:lineRule="exact"/>
      <w:jc w:val="both"/>
    </w:pPr>
    <w:rPr>
      <w:sz w:val="18"/>
      <w:lang w:eastAsia="de-DE"/>
    </w:rPr>
  </w:style>
  <w:style w:type="paragraph" w:customStyle="1" w:styleId="Els-2ndorder-head">
    <w:name w:val="Els-2ndorder-head"/>
    <w:next w:val="Els-body-text"/>
    <w:rsid w:val="00131420"/>
    <w:pPr>
      <w:keepNext/>
      <w:numPr>
        <w:ilvl w:val="1"/>
        <w:numId w:val="1"/>
      </w:numPr>
      <w:suppressAutoHyphens/>
      <w:spacing w:before="240" w:after="240" w:line="240" w:lineRule="exact"/>
    </w:pPr>
    <w:rPr>
      <w:i/>
      <w:lang w:eastAsia="de-DE"/>
    </w:rPr>
  </w:style>
  <w:style w:type="paragraph" w:customStyle="1" w:styleId="Els-body-text">
    <w:name w:val="Els-body-text"/>
    <w:rsid w:val="00131420"/>
    <w:pPr>
      <w:spacing w:line="240" w:lineRule="exact"/>
      <w:ind w:firstLine="240"/>
      <w:jc w:val="both"/>
    </w:pPr>
    <w:rPr>
      <w:lang w:eastAsia="de-DE"/>
    </w:rPr>
  </w:style>
  <w:style w:type="paragraph" w:customStyle="1" w:styleId="Els-3rdorder-head">
    <w:name w:val="Els-3rdorder-head"/>
    <w:next w:val="Els-body-text"/>
    <w:rsid w:val="00131420"/>
    <w:pPr>
      <w:keepNext/>
      <w:numPr>
        <w:ilvl w:val="2"/>
        <w:numId w:val="1"/>
      </w:numPr>
      <w:suppressAutoHyphens/>
      <w:spacing w:before="240" w:line="240" w:lineRule="exact"/>
    </w:pPr>
    <w:rPr>
      <w:i/>
      <w:lang w:eastAsia="de-DE"/>
    </w:rPr>
  </w:style>
  <w:style w:type="paragraph" w:customStyle="1" w:styleId="Els-4thorder-head">
    <w:name w:val="Els-4thorder-head"/>
    <w:next w:val="Els-body-text"/>
    <w:rsid w:val="00131420"/>
    <w:pPr>
      <w:keepNext/>
      <w:numPr>
        <w:ilvl w:val="3"/>
        <w:numId w:val="1"/>
      </w:numPr>
      <w:suppressAutoHyphens/>
      <w:spacing w:before="240" w:line="240" w:lineRule="exact"/>
      <w:jc w:val="both"/>
    </w:pPr>
    <w:rPr>
      <w:i/>
      <w:lang w:eastAsia="de-DE"/>
    </w:rPr>
  </w:style>
  <w:style w:type="paragraph" w:customStyle="1" w:styleId="Els-1storder-head">
    <w:name w:val="Els-1storder-head"/>
    <w:next w:val="Els-body-text"/>
    <w:rsid w:val="00131420"/>
    <w:pPr>
      <w:keepNext/>
      <w:numPr>
        <w:numId w:val="1"/>
      </w:numPr>
      <w:suppressAutoHyphens/>
      <w:spacing w:before="480" w:after="240" w:line="240" w:lineRule="exact"/>
    </w:pPr>
    <w:rPr>
      <w:b/>
      <w:lang w:eastAsia="de-DE"/>
    </w:rPr>
  </w:style>
  <w:style w:type="paragraph" w:customStyle="1" w:styleId="Els-Abstract-head">
    <w:name w:val="Els-Abstract-head"/>
    <w:next w:val="Els-Abstract-text"/>
    <w:rsid w:val="00131420"/>
    <w:pPr>
      <w:keepNext/>
      <w:pBdr>
        <w:top w:val="single" w:sz="4" w:space="10" w:color="auto"/>
      </w:pBdr>
      <w:suppressAutoHyphens/>
      <w:spacing w:after="220" w:line="220" w:lineRule="exact"/>
    </w:pPr>
    <w:rPr>
      <w:b/>
      <w:sz w:val="18"/>
      <w:lang w:eastAsia="de-DE"/>
    </w:rPr>
  </w:style>
  <w:style w:type="paragraph" w:customStyle="1" w:styleId="Els-keywords">
    <w:name w:val="Els-keywords"/>
    <w:next w:val="Els-1storder-head"/>
    <w:rsid w:val="00131420"/>
    <w:pPr>
      <w:pBdr>
        <w:bottom w:val="single" w:sz="4" w:space="10" w:color="auto"/>
      </w:pBdr>
      <w:spacing w:line="200" w:lineRule="exact"/>
    </w:pPr>
    <w:rPr>
      <w:noProof/>
      <w:sz w:val="16"/>
      <w:lang w:val="de-DE" w:eastAsia="de-DE"/>
    </w:rPr>
  </w:style>
  <w:style w:type="paragraph" w:styleId="Caption">
    <w:name w:val="caption"/>
    <w:basedOn w:val="Normal"/>
    <w:next w:val="Normal"/>
    <w:qFormat/>
    <w:rsid w:val="00131420"/>
    <w:pPr>
      <w:keepLines/>
      <w:spacing w:line="200" w:lineRule="exact"/>
    </w:pPr>
    <w:rPr>
      <w:sz w:val="16"/>
      <w:lang w:val="en-US"/>
    </w:rPr>
  </w:style>
  <w:style w:type="paragraph" w:customStyle="1" w:styleId="Els-acknowledgement">
    <w:name w:val="Els-acknowledgement"/>
    <w:next w:val="Els-body-text"/>
    <w:rsid w:val="00131420"/>
    <w:pPr>
      <w:keepNext/>
      <w:spacing w:before="480" w:after="240"/>
    </w:pPr>
    <w:rPr>
      <w:b/>
      <w:lang w:eastAsia="de-DE"/>
    </w:rPr>
  </w:style>
  <w:style w:type="paragraph" w:customStyle="1" w:styleId="Els-appendixhead">
    <w:name w:val="Els-appendixhead"/>
    <w:next w:val="Els-body-text"/>
    <w:rsid w:val="00131420"/>
    <w:pPr>
      <w:numPr>
        <w:numId w:val="2"/>
      </w:numPr>
      <w:spacing w:before="480" w:after="240"/>
    </w:pPr>
    <w:rPr>
      <w:b/>
      <w:lang w:eastAsia="de-DE"/>
    </w:rPr>
  </w:style>
  <w:style w:type="paragraph" w:customStyle="1" w:styleId="Els-appendixsubhead">
    <w:name w:val="Els-appendixsubhead"/>
    <w:next w:val="Els-body-text"/>
    <w:rsid w:val="00131420"/>
    <w:pPr>
      <w:numPr>
        <w:ilvl w:val="1"/>
        <w:numId w:val="3"/>
      </w:numPr>
      <w:spacing w:before="240" w:after="240"/>
    </w:pPr>
    <w:rPr>
      <w:i/>
      <w:lang w:eastAsia="de-DE"/>
    </w:rPr>
  </w:style>
  <w:style w:type="paragraph" w:customStyle="1" w:styleId="Els-bulletlist">
    <w:name w:val="Els-bulletlist"/>
    <w:basedOn w:val="Els-body-text"/>
    <w:rsid w:val="00131420"/>
    <w:pPr>
      <w:numPr>
        <w:numId w:val="4"/>
      </w:numPr>
      <w:tabs>
        <w:tab w:val="left" w:pos="240"/>
      </w:tabs>
      <w:jc w:val="left"/>
    </w:pPr>
  </w:style>
  <w:style w:type="paragraph" w:customStyle="1" w:styleId="Els-caption">
    <w:name w:val="Els-caption"/>
    <w:rsid w:val="00131420"/>
    <w:pPr>
      <w:keepLines/>
      <w:spacing w:before="200" w:after="240" w:line="200" w:lineRule="exact"/>
    </w:pPr>
    <w:rPr>
      <w:sz w:val="16"/>
      <w:lang w:eastAsia="de-DE"/>
    </w:rPr>
  </w:style>
  <w:style w:type="paragraph" w:customStyle="1" w:styleId="Els-chem-equation">
    <w:name w:val="Els-chem-equation"/>
    <w:next w:val="Els-body-text"/>
    <w:rsid w:val="00131420"/>
    <w:pPr>
      <w:tabs>
        <w:tab w:val="right" w:pos="4320"/>
        <w:tab w:val="right" w:pos="9120"/>
      </w:tabs>
      <w:spacing w:before="120" w:after="120" w:line="240" w:lineRule="exact"/>
    </w:pPr>
    <w:rPr>
      <w:noProof/>
      <w:lang w:val="de-DE" w:eastAsia="de-DE"/>
    </w:rPr>
  </w:style>
  <w:style w:type="paragraph" w:customStyle="1" w:styleId="Els-equation">
    <w:name w:val="Els-equation"/>
    <w:next w:val="Els-body-text"/>
    <w:rsid w:val="00131420"/>
    <w:pPr>
      <w:tabs>
        <w:tab w:val="right" w:pos="4320"/>
        <w:tab w:val="right" w:pos="9120"/>
      </w:tabs>
      <w:spacing w:before="120" w:after="120" w:line="240" w:lineRule="exact"/>
    </w:pPr>
    <w:rPr>
      <w:i/>
      <w:noProof/>
      <w:lang w:val="de-DE" w:eastAsia="de-DE"/>
    </w:rPr>
  </w:style>
  <w:style w:type="paragraph" w:customStyle="1" w:styleId="Els-footnote">
    <w:name w:val="Els-footnote"/>
    <w:rsid w:val="00131420"/>
    <w:pPr>
      <w:keepLines/>
      <w:widowControl w:val="0"/>
      <w:spacing w:line="200" w:lineRule="exact"/>
      <w:ind w:left="120" w:hanging="120"/>
    </w:pPr>
    <w:rPr>
      <w:sz w:val="16"/>
      <w:lang w:eastAsia="de-DE"/>
    </w:rPr>
  </w:style>
  <w:style w:type="paragraph" w:customStyle="1" w:styleId="Els-numlist">
    <w:name w:val="Els-numlist"/>
    <w:basedOn w:val="Els-body-text"/>
    <w:rsid w:val="00131420"/>
    <w:pPr>
      <w:numPr>
        <w:numId w:val="16"/>
      </w:numPr>
      <w:tabs>
        <w:tab w:val="left" w:pos="240"/>
      </w:tabs>
      <w:jc w:val="left"/>
    </w:pPr>
  </w:style>
  <w:style w:type="paragraph" w:customStyle="1" w:styleId="Els-reference">
    <w:name w:val="Els-reference"/>
    <w:rsid w:val="00131420"/>
    <w:pPr>
      <w:tabs>
        <w:tab w:val="left" w:pos="312"/>
      </w:tabs>
      <w:spacing w:line="200" w:lineRule="exact"/>
      <w:ind w:left="312" w:hanging="312"/>
    </w:pPr>
    <w:rPr>
      <w:noProof/>
      <w:sz w:val="16"/>
      <w:lang w:val="de-DE" w:eastAsia="de-DE"/>
    </w:rPr>
  </w:style>
  <w:style w:type="paragraph" w:customStyle="1" w:styleId="Els-reference-head">
    <w:name w:val="Els-reference-head"/>
    <w:next w:val="Els-reference"/>
    <w:rsid w:val="00131420"/>
    <w:pPr>
      <w:keepNext/>
      <w:spacing w:before="480" w:after="240" w:line="240" w:lineRule="exact"/>
    </w:pPr>
    <w:rPr>
      <w:b/>
      <w:lang w:eastAsia="de-DE"/>
    </w:rPr>
  </w:style>
  <w:style w:type="paragraph" w:customStyle="1" w:styleId="Els-table-text">
    <w:name w:val="Els-table-text"/>
    <w:rsid w:val="00131420"/>
    <w:pPr>
      <w:keepNext/>
      <w:spacing w:after="80" w:line="200" w:lineRule="exact"/>
    </w:pPr>
    <w:rPr>
      <w:sz w:val="16"/>
      <w:lang w:eastAsia="de-DE"/>
    </w:rPr>
  </w:style>
  <w:style w:type="paragraph" w:styleId="FootnoteText">
    <w:name w:val="footnote text"/>
    <w:basedOn w:val="Normal"/>
    <w:semiHidden/>
    <w:rsid w:val="00131420"/>
    <w:rPr>
      <w:rFonts w:ascii="Univers" w:hAnsi="Univers"/>
    </w:rPr>
  </w:style>
  <w:style w:type="character" w:styleId="FootnoteReference">
    <w:name w:val="footnote reference"/>
    <w:semiHidden/>
    <w:rsid w:val="00131420"/>
    <w:rPr>
      <w:vertAlign w:val="superscript"/>
    </w:rPr>
  </w:style>
  <w:style w:type="character" w:styleId="Hyperlink">
    <w:name w:val="Hyperlink"/>
    <w:rsid w:val="00131420"/>
    <w:rPr>
      <w:color w:val="0000FF"/>
      <w:u w:val="single"/>
    </w:rPr>
  </w:style>
  <w:style w:type="paragraph" w:customStyle="1" w:styleId="Els-5thorder-head">
    <w:name w:val="Els-5thorder-head"/>
    <w:next w:val="Els-body-text"/>
    <w:rsid w:val="00131420"/>
    <w:pPr>
      <w:keepNext/>
      <w:numPr>
        <w:ilvl w:val="4"/>
        <w:numId w:val="17"/>
      </w:numPr>
      <w:suppressAutoHyphens/>
      <w:spacing w:line="240" w:lineRule="exact"/>
    </w:pPr>
    <w:rPr>
      <w:i/>
      <w:lang w:eastAsia="de-DE"/>
    </w:rPr>
  </w:style>
  <w:style w:type="paragraph" w:styleId="BalloonText">
    <w:name w:val="Balloon Text"/>
    <w:basedOn w:val="Normal"/>
    <w:link w:val="BalloonTextChar"/>
    <w:uiPriority w:val="99"/>
    <w:semiHidden/>
    <w:unhideWhenUsed/>
    <w:rsid w:val="00881EE6"/>
    <w:rPr>
      <w:rFonts w:ascii="Tahoma" w:hAnsi="Tahoma" w:cs="Tahoma"/>
      <w:sz w:val="16"/>
      <w:szCs w:val="16"/>
    </w:rPr>
  </w:style>
  <w:style w:type="paragraph" w:customStyle="1" w:styleId="Els-journal-logo">
    <w:name w:val="Els-journal-logo"/>
    <w:rsid w:val="00131420"/>
    <w:pPr>
      <w:pBdr>
        <w:top w:val="thinThickLargeGap" w:sz="12" w:space="1" w:color="auto"/>
        <w:bottom w:val="thickThinLargeGap" w:sz="12" w:space="1" w:color="auto"/>
      </w:pBdr>
      <w:jc w:val="center"/>
    </w:pPr>
    <w:rPr>
      <w:rFonts w:ascii="Helvetica" w:hAnsi="Helvetica"/>
      <w:noProof/>
      <w:lang w:val="de-DE" w:eastAsia="de-DE"/>
    </w:rPr>
  </w:style>
  <w:style w:type="character" w:customStyle="1" w:styleId="BalloonTextChar">
    <w:name w:val="Balloon Text Char"/>
    <w:link w:val="BalloonText"/>
    <w:uiPriority w:val="99"/>
    <w:semiHidden/>
    <w:rsid w:val="00881EE6"/>
    <w:rPr>
      <w:rFonts w:ascii="Tahoma" w:hAnsi="Tahoma" w:cs="Tahoma"/>
      <w:sz w:val="16"/>
      <w:szCs w:val="16"/>
      <w:lang w:val="en-GB" w:eastAsia="de-DE"/>
    </w:rPr>
  </w:style>
  <w:style w:type="paragraph" w:customStyle="1" w:styleId="NoParagraphStyle">
    <w:name w:val="[No Paragraph Style]"/>
    <w:rsid w:val="00230793"/>
    <w:pPr>
      <w:autoSpaceDE w:val="0"/>
      <w:autoSpaceDN w:val="0"/>
      <w:adjustRightInd w:val="0"/>
      <w:spacing w:line="288" w:lineRule="auto"/>
      <w:textAlignment w:val="center"/>
    </w:pPr>
    <w:rPr>
      <w:color w:val="000000"/>
      <w:sz w:val="24"/>
      <w:szCs w:val="24"/>
    </w:rPr>
  </w:style>
  <w:style w:type="paragraph" w:customStyle="1" w:styleId="BasicParagraph">
    <w:name w:val="[Basic Paragraph]"/>
    <w:basedOn w:val="NoParagraphStyle"/>
    <w:uiPriority w:val="99"/>
    <w:rsid w:val="00230793"/>
    <w:pPr>
      <w:suppressAutoHyphens/>
      <w:jc w:val="both"/>
    </w:pPr>
  </w:style>
  <w:style w:type="paragraph" w:customStyle="1" w:styleId="a">
    <w:name w:val="عادي"/>
    <w:basedOn w:val="NoParagraphStyle"/>
    <w:uiPriority w:val="99"/>
    <w:rsid w:val="00463AE6"/>
    <w:pPr>
      <w:suppressAutoHyphens/>
      <w:spacing w:after="160"/>
    </w:pPr>
    <w:rPr>
      <w:sz w:val="22"/>
      <w:szCs w:val="22"/>
    </w:rPr>
  </w:style>
  <w:style w:type="paragraph" w:customStyle="1" w:styleId="RSCB02ArticleText">
    <w:name w:val="RSC B02 Article Text"/>
    <w:basedOn w:val="Normal"/>
    <w:link w:val="RSCB02ArticleTextChar"/>
    <w:qFormat/>
    <w:rsid w:val="006674A8"/>
    <w:pPr>
      <w:spacing w:line="240" w:lineRule="exact"/>
      <w:jc w:val="both"/>
    </w:pPr>
    <w:rPr>
      <w:rFonts w:ascii="Calibri" w:eastAsia="Calibri" w:hAnsi="Calibri"/>
      <w:w w:val="108"/>
      <w:sz w:val="18"/>
      <w:szCs w:val="18"/>
      <w:lang w:eastAsia="en-US"/>
    </w:rPr>
  </w:style>
  <w:style w:type="character" w:customStyle="1" w:styleId="RSCB02ArticleTextChar">
    <w:name w:val="RSC B02 Article Text Char"/>
    <w:link w:val="RSCB02ArticleText"/>
    <w:rsid w:val="006674A8"/>
    <w:rPr>
      <w:rFonts w:ascii="Calibri" w:eastAsia="Calibri" w:hAnsi="Calibri"/>
      <w:w w:val="108"/>
      <w:sz w:val="18"/>
      <w:szCs w:val="18"/>
      <w:lang w:val="en-GB"/>
    </w:rPr>
  </w:style>
  <w:style w:type="paragraph" w:customStyle="1" w:styleId="RSCB04AHeadingSection">
    <w:name w:val="RSC B04 A Heading (Section)"/>
    <w:basedOn w:val="Normal"/>
    <w:link w:val="RSCB04AHeadingSectionChar"/>
    <w:qFormat/>
    <w:rsid w:val="006674A8"/>
    <w:pPr>
      <w:spacing w:before="400" w:after="80"/>
    </w:pPr>
    <w:rPr>
      <w:rFonts w:ascii="Calibri" w:eastAsia="Calibri" w:hAnsi="Calibri" w:cs="Arial"/>
      <w:b/>
      <w:sz w:val="24"/>
      <w:szCs w:val="22"/>
      <w:lang w:eastAsia="en-US"/>
    </w:rPr>
  </w:style>
  <w:style w:type="character" w:customStyle="1" w:styleId="RSCB04AHeadingSectionChar">
    <w:name w:val="RSC B04 A Heading (Section) Char"/>
    <w:link w:val="RSCB04AHeadingSection"/>
    <w:rsid w:val="006674A8"/>
    <w:rPr>
      <w:rFonts w:ascii="Calibri" w:eastAsia="Calibri" w:hAnsi="Calibri" w:cs="Arial"/>
      <w:b/>
      <w:sz w:val="24"/>
      <w:szCs w:val="22"/>
      <w:lang w:val="en-GB"/>
    </w:rPr>
  </w:style>
  <w:style w:type="paragraph" w:styleId="EndnoteText">
    <w:name w:val="endnote text"/>
    <w:basedOn w:val="Normal"/>
    <w:link w:val="EndnoteTextChar"/>
    <w:uiPriority w:val="99"/>
    <w:unhideWhenUsed/>
    <w:rsid w:val="008A1134"/>
  </w:style>
  <w:style w:type="character" w:customStyle="1" w:styleId="EndnoteTextChar">
    <w:name w:val="Endnote Text Char"/>
    <w:basedOn w:val="DefaultParagraphFont"/>
    <w:link w:val="EndnoteText"/>
    <w:uiPriority w:val="99"/>
    <w:rsid w:val="008A1134"/>
    <w:rPr>
      <w:lang w:val="en-GB" w:eastAsia="de-DE"/>
    </w:rPr>
  </w:style>
  <w:style w:type="character" w:styleId="EndnoteReference">
    <w:name w:val="endnote reference"/>
    <w:basedOn w:val="DefaultParagraphFont"/>
    <w:uiPriority w:val="99"/>
    <w:semiHidden/>
    <w:unhideWhenUsed/>
    <w:rsid w:val="008A1134"/>
    <w:rPr>
      <w:vertAlign w:val="superscript"/>
    </w:rPr>
  </w:style>
  <w:style w:type="character" w:customStyle="1" w:styleId="Heading1Char">
    <w:name w:val="Heading 1 Char"/>
    <w:basedOn w:val="DefaultParagraphFont"/>
    <w:link w:val="Heading1"/>
    <w:uiPriority w:val="9"/>
    <w:rsid w:val="001638A8"/>
    <w:rPr>
      <w:rFonts w:asciiTheme="majorHAnsi" w:eastAsiaTheme="majorEastAsia" w:hAnsiTheme="majorHAnsi" w:cstheme="majorBidi"/>
      <w:b/>
      <w:bCs/>
      <w:kern w:val="32"/>
      <w:sz w:val="32"/>
      <w:szCs w:val="32"/>
      <w:lang w:val="en-GB" w:eastAsia="de-DE"/>
    </w:rPr>
  </w:style>
  <w:style w:type="character" w:styleId="Strong">
    <w:name w:val="Strong"/>
    <w:basedOn w:val="DefaultParagraphFont"/>
    <w:uiPriority w:val="22"/>
    <w:qFormat/>
    <w:rsid w:val="00B573CE"/>
    <w:rPr>
      <w:b/>
      <w:bCs/>
    </w:rPr>
  </w:style>
  <w:style w:type="character" w:customStyle="1" w:styleId="A4">
    <w:name w:val="A4"/>
    <w:uiPriority w:val="99"/>
    <w:rsid w:val="004D2E13"/>
    <w:rPr>
      <w:rFonts w:cs="Times New Roman"/>
      <w:b/>
      <w:bCs/>
      <w:color w:val="221E1F"/>
      <w:sz w:val="20"/>
      <w:szCs w:val="20"/>
    </w:rPr>
  </w:style>
  <w:style w:type="character" w:customStyle="1" w:styleId="A1">
    <w:name w:val="A1"/>
    <w:uiPriority w:val="99"/>
    <w:rsid w:val="004D2E13"/>
    <w:rPr>
      <w:rFonts w:cs="Times New Roman"/>
      <w:color w:val="221E1F"/>
      <w:sz w:val="18"/>
      <w:szCs w:val="18"/>
    </w:rPr>
  </w:style>
  <w:style w:type="character" w:customStyle="1" w:styleId="A0">
    <w:name w:val="A0"/>
    <w:uiPriority w:val="99"/>
    <w:rsid w:val="004D2E13"/>
    <w:rPr>
      <w:rFonts w:cs="Times New Roman"/>
      <w:color w:val="221E1F"/>
      <w:sz w:val="10"/>
      <w:szCs w:val="10"/>
    </w:rPr>
  </w:style>
  <w:style w:type="character" w:customStyle="1" w:styleId="A8">
    <w:name w:val="A8"/>
    <w:uiPriority w:val="99"/>
    <w:rsid w:val="004D2E13"/>
    <w:rPr>
      <w:rFonts w:cs="Times New Roman"/>
      <w:color w:val="221E1F"/>
      <w:sz w:val="10"/>
      <w:szCs w:val="10"/>
    </w:rPr>
  </w:style>
  <w:style w:type="paragraph" w:customStyle="1" w:styleId="EndNoteBibliography">
    <w:name w:val="EndNote Bibliography"/>
    <w:basedOn w:val="Normal"/>
    <w:link w:val="EndNoteBibliographyChar"/>
    <w:rsid w:val="004C29C3"/>
    <w:pPr>
      <w:autoSpaceDE w:val="0"/>
      <w:autoSpaceDN w:val="0"/>
      <w:bidi/>
      <w:adjustRightInd w:val="0"/>
      <w:spacing w:after="200"/>
      <w:jc w:val="center"/>
      <w:textAlignment w:val="center"/>
    </w:pPr>
    <w:rPr>
      <w:color w:val="000000"/>
      <w:sz w:val="16"/>
      <w:szCs w:val="22"/>
      <w:lang w:val="en-US" w:eastAsia="en-US"/>
    </w:rPr>
  </w:style>
  <w:style w:type="paragraph" w:customStyle="1" w:styleId="Title">
    <w:name w:val="Title.."/>
    <w:basedOn w:val="Normal"/>
    <w:uiPriority w:val="99"/>
    <w:rsid w:val="004C29C3"/>
    <w:pPr>
      <w:autoSpaceDE w:val="0"/>
      <w:autoSpaceDN w:val="0"/>
      <w:adjustRightInd w:val="0"/>
      <w:spacing w:before="60" w:after="60" w:line="360" w:lineRule="auto"/>
      <w:jc w:val="center"/>
      <w:textAlignment w:val="center"/>
    </w:pPr>
    <w:rPr>
      <w:rFonts w:ascii="JLBLE G+ Adv O T 863180fb" w:hAnsi="JLBLE G+ Adv O T 863180fb" w:cs="JLBLE G+ Adv O T 863180fb"/>
      <w:b/>
      <w:bCs/>
      <w:color w:val="000000"/>
      <w:spacing w:val="2"/>
      <w:sz w:val="30"/>
      <w:szCs w:val="30"/>
      <w:lang w:val="en-US" w:eastAsia="en-US"/>
    </w:rPr>
  </w:style>
  <w:style w:type="paragraph" w:customStyle="1" w:styleId="Author">
    <w:name w:val="Author"/>
    <w:basedOn w:val="Normal"/>
    <w:uiPriority w:val="99"/>
    <w:rsid w:val="004C29C3"/>
    <w:pPr>
      <w:suppressAutoHyphens/>
      <w:autoSpaceDE w:val="0"/>
      <w:autoSpaceDN w:val="0"/>
      <w:adjustRightInd w:val="0"/>
      <w:spacing w:line="280" w:lineRule="atLeast"/>
      <w:jc w:val="right"/>
      <w:textAlignment w:val="center"/>
    </w:pPr>
    <w:rPr>
      <w:rFonts w:ascii="Helvetica Bold" w:hAnsi="Helvetica Bold" w:cs="Helvetica Bold"/>
      <w:b/>
      <w:bCs/>
      <w:color w:val="000000"/>
      <w:sz w:val="24"/>
      <w:szCs w:val="24"/>
      <w:lang w:val="en-US" w:eastAsia="en-US"/>
    </w:rPr>
  </w:style>
  <w:style w:type="character" w:customStyle="1" w:styleId="q4iawc">
    <w:name w:val="q4iawc"/>
    <w:basedOn w:val="DefaultParagraphFont"/>
    <w:rsid w:val="004C29C3"/>
  </w:style>
  <w:style w:type="character" w:customStyle="1" w:styleId="FooterChar">
    <w:name w:val="Footer Char"/>
    <w:basedOn w:val="DefaultParagraphFont"/>
    <w:link w:val="Footer"/>
    <w:uiPriority w:val="99"/>
    <w:rsid w:val="006E0420"/>
    <w:rPr>
      <w:noProof/>
      <w:sz w:val="16"/>
      <w:lang w:val="de-DE" w:eastAsia="de-DE"/>
    </w:rPr>
  </w:style>
  <w:style w:type="paragraph" w:styleId="ListParagraph">
    <w:name w:val="List Paragraph"/>
    <w:basedOn w:val="Normal"/>
    <w:uiPriority w:val="1"/>
    <w:qFormat/>
    <w:rsid w:val="003D63C9"/>
    <w:pPr>
      <w:suppressAutoHyphens/>
      <w:autoSpaceDE w:val="0"/>
      <w:autoSpaceDN w:val="0"/>
      <w:adjustRightInd w:val="0"/>
      <w:spacing w:line="288" w:lineRule="auto"/>
      <w:ind w:right="720"/>
      <w:jc w:val="right"/>
      <w:textAlignment w:val="center"/>
    </w:pPr>
    <w:rPr>
      <w:color w:val="000000"/>
      <w:sz w:val="24"/>
      <w:szCs w:val="24"/>
      <w:lang w:val="en-US" w:eastAsia="en-US"/>
    </w:rPr>
  </w:style>
  <w:style w:type="paragraph" w:customStyle="1" w:styleId="Normalwrd4">
    <w:name w:val="Normal_wrd_4"/>
    <w:basedOn w:val="NoParagraphStyle"/>
    <w:uiPriority w:val="99"/>
    <w:rsid w:val="00834ADD"/>
    <w:pPr>
      <w:suppressAutoHyphens/>
      <w:spacing w:after="200"/>
    </w:pPr>
  </w:style>
  <w:style w:type="character" w:customStyle="1" w:styleId="jlqj4bwrd1">
    <w:name w:val="jlqj4b_wrd_1"/>
    <w:uiPriority w:val="99"/>
    <w:rsid w:val="00834ADD"/>
  </w:style>
  <w:style w:type="paragraph" w:styleId="NormalWeb">
    <w:name w:val="Normal (Web)"/>
    <w:basedOn w:val="Normal"/>
    <w:uiPriority w:val="99"/>
    <w:unhideWhenUsed/>
    <w:rsid w:val="000C5966"/>
    <w:pPr>
      <w:spacing w:before="100" w:beforeAutospacing="1" w:after="100" w:afterAutospacing="1"/>
    </w:pPr>
    <w:rPr>
      <w:sz w:val="24"/>
      <w:szCs w:val="24"/>
      <w:lang w:eastAsia="en-GB"/>
    </w:rPr>
  </w:style>
  <w:style w:type="character" w:customStyle="1" w:styleId="EndNoteBibliographyChar">
    <w:name w:val="EndNote Bibliography Char"/>
    <w:basedOn w:val="DefaultParagraphFont"/>
    <w:link w:val="EndNoteBibliography"/>
    <w:rsid w:val="00E10C2D"/>
    <w:rPr>
      <w:color w:val="000000"/>
      <w:sz w:val="16"/>
      <w:szCs w:val="22"/>
    </w:rPr>
  </w:style>
  <w:style w:type="paragraph" w:styleId="HTMLPreformatted">
    <w:name w:val="HTML Preformatted"/>
    <w:basedOn w:val="Normal"/>
    <w:link w:val="HTMLPreformattedChar"/>
    <w:uiPriority w:val="99"/>
    <w:semiHidden/>
    <w:unhideWhenUsed/>
    <w:rsid w:val="005E7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5E7F6E"/>
    <w:rPr>
      <w:rFonts w:ascii="Courier New" w:hAnsi="Courier New" w:cs="Courier New"/>
    </w:rPr>
  </w:style>
  <w:style w:type="character" w:customStyle="1" w:styleId="y2iqfc">
    <w:name w:val="y2iqfc"/>
    <w:basedOn w:val="DefaultParagraphFont"/>
    <w:rsid w:val="005E7F6E"/>
  </w:style>
  <w:style w:type="character" w:styleId="CommentReference">
    <w:name w:val="annotation reference"/>
    <w:basedOn w:val="DefaultParagraphFont"/>
    <w:uiPriority w:val="99"/>
    <w:semiHidden/>
    <w:unhideWhenUsed/>
    <w:rsid w:val="00EA38F5"/>
    <w:rPr>
      <w:sz w:val="16"/>
      <w:szCs w:val="16"/>
    </w:rPr>
  </w:style>
  <w:style w:type="paragraph" w:styleId="CommentText">
    <w:name w:val="annotation text"/>
    <w:basedOn w:val="Normal"/>
    <w:link w:val="CommentTextChar"/>
    <w:uiPriority w:val="99"/>
    <w:semiHidden/>
    <w:unhideWhenUsed/>
    <w:rsid w:val="00EA38F5"/>
  </w:style>
  <w:style w:type="character" w:customStyle="1" w:styleId="CommentTextChar">
    <w:name w:val="Comment Text Char"/>
    <w:basedOn w:val="DefaultParagraphFont"/>
    <w:link w:val="CommentText"/>
    <w:uiPriority w:val="99"/>
    <w:semiHidden/>
    <w:rsid w:val="00EA38F5"/>
    <w:rPr>
      <w:lang w:val="en-GB" w:eastAsia="de-DE"/>
    </w:rPr>
  </w:style>
  <w:style w:type="paragraph" w:styleId="CommentSubject">
    <w:name w:val="annotation subject"/>
    <w:basedOn w:val="CommentText"/>
    <w:next w:val="CommentText"/>
    <w:link w:val="CommentSubjectChar"/>
    <w:uiPriority w:val="99"/>
    <w:semiHidden/>
    <w:unhideWhenUsed/>
    <w:rsid w:val="00EA38F5"/>
    <w:rPr>
      <w:b/>
      <w:bCs/>
    </w:rPr>
  </w:style>
  <w:style w:type="character" w:customStyle="1" w:styleId="CommentSubjectChar">
    <w:name w:val="Comment Subject Char"/>
    <w:basedOn w:val="CommentTextChar"/>
    <w:link w:val="CommentSubject"/>
    <w:uiPriority w:val="99"/>
    <w:semiHidden/>
    <w:rsid w:val="00EA38F5"/>
    <w:rPr>
      <w:b/>
      <w:bCs/>
      <w:lang w:val="en-GB" w:eastAsia="de-DE"/>
    </w:rPr>
  </w:style>
  <w:style w:type="character" w:customStyle="1" w:styleId="anchor-text">
    <w:name w:val="anchor-text"/>
    <w:basedOn w:val="DefaultParagraphFont"/>
    <w:rsid w:val="00334BD6"/>
  </w:style>
  <w:style w:type="table" w:styleId="TableGrid">
    <w:name w:val="Table Grid"/>
    <w:basedOn w:val="TableNormal"/>
    <w:uiPriority w:val="39"/>
    <w:rsid w:val="00F167B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E3F8C"/>
    <w:rPr>
      <w:color w:val="605E5C"/>
      <w:shd w:val="clear" w:color="auto" w:fill="E1DFDD"/>
    </w:rPr>
  </w:style>
  <w:style w:type="paragraph" w:customStyle="1" w:styleId="EndNoteBibliographyTitle">
    <w:name w:val="EndNote Bibliography Title"/>
    <w:basedOn w:val="Normal"/>
    <w:link w:val="EndNoteBibliographyTitleChar"/>
    <w:rsid w:val="00586342"/>
    <w:pPr>
      <w:jc w:val="center"/>
    </w:pPr>
    <w:rPr>
      <w:noProof/>
      <w:sz w:val="16"/>
      <w:lang w:val="de-DE"/>
    </w:rPr>
  </w:style>
  <w:style w:type="character" w:customStyle="1" w:styleId="EndNoteBibliographyTitleChar">
    <w:name w:val="EndNote Bibliography Title Char"/>
    <w:basedOn w:val="DefaultParagraphFont"/>
    <w:link w:val="EndNoteBibliographyTitle"/>
    <w:rsid w:val="00586342"/>
    <w:rPr>
      <w:noProof/>
      <w:sz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2929">
      <w:bodyDiv w:val="1"/>
      <w:marLeft w:val="0"/>
      <w:marRight w:val="0"/>
      <w:marTop w:val="0"/>
      <w:marBottom w:val="0"/>
      <w:divBdr>
        <w:top w:val="none" w:sz="0" w:space="0" w:color="auto"/>
        <w:left w:val="none" w:sz="0" w:space="0" w:color="auto"/>
        <w:bottom w:val="none" w:sz="0" w:space="0" w:color="auto"/>
        <w:right w:val="none" w:sz="0" w:space="0" w:color="auto"/>
      </w:divBdr>
    </w:div>
    <w:div w:id="426459864">
      <w:bodyDiv w:val="1"/>
      <w:marLeft w:val="0"/>
      <w:marRight w:val="0"/>
      <w:marTop w:val="0"/>
      <w:marBottom w:val="0"/>
      <w:divBdr>
        <w:top w:val="none" w:sz="0" w:space="0" w:color="auto"/>
        <w:left w:val="none" w:sz="0" w:space="0" w:color="auto"/>
        <w:bottom w:val="none" w:sz="0" w:space="0" w:color="auto"/>
        <w:right w:val="none" w:sz="0" w:space="0" w:color="auto"/>
      </w:divBdr>
    </w:div>
    <w:div w:id="581184122">
      <w:bodyDiv w:val="1"/>
      <w:marLeft w:val="0"/>
      <w:marRight w:val="0"/>
      <w:marTop w:val="0"/>
      <w:marBottom w:val="0"/>
      <w:divBdr>
        <w:top w:val="none" w:sz="0" w:space="0" w:color="auto"/>
        <w:left w:val="none" w:sz="0" w:space="0" w:color="auto"/>
        <w:bottom w:val="none" w:sz="0" w:space="0" w:color="auto"/>
        <w:right w:val="none" w:sz="0" w:space="0" w:color="auto"/>
      </w:divBdr>
    </w:div>
    <w:div w:id="918636436">
      <w:bodyDiv w:val="1"/>
      <w:marLeft w:val="0"/>
      <w:marRight w:val="0"/>
      <w:marTop w:val="0"/>
      <w:marBottom w:val="0"/>
      <w:divBdr>
        <w:top w:val="none" w:sz="0" w:space="0" w:color="auto"/>
        <w:left w:val="none" w:sz="0" w:space="0" w:color="auto"/>
        <w:bottom w:val="none" w:sz="0" w:space="0" w:color="auto"/>
        <w:right w:val="none" w:sz="0" w:space="0" w:color="auto"/>
      </w:divBdr>
    </w:div>
    <w:div w:id="1020012733">
      <w:bodyDiv w:val="1"/>
      <w:marLeft w:val="0"/>
      <w:marRight w:val="0"/>
      <w:marTop w:val="0"/>
      <w:marBottom w:val="0"/>
      <w:divBdr>
        <w:top w:val="none" w:sz="0" w:space="0" w:color="auto"/>
        <w:left w:val="none" w:sz="0" w:space="0" w:color="auto"/>
        <w:bottom w:val="none" w:sz="0" w:space="0" w:color="auto"/>
        <w:right w:val="none" w:sz="0" w:space="0" w:color="auto"/>
      </w:divBdr>
    </w:div>
    <w:div w:id="1045327592">
      <w:bodyDiv w:val="1"/>
      <w:marLeft w:val="0"/>
      <w:marRight w:val="0"/>
      <w:marTop w:val="0"/>
      <w:marBottom w:val="0"/>
      <w:divBdr>
        <w:top w:val="none" w:sz="0" w:space="0" w:color="auto"/>
        <w:left w:val="none" w:sz="0" w:space="0" w:color="auto"/>
        <w:bottom w:val="none" w:sz="0" w:space="0" w:color="auto"/>
        <w:right w:val="none" w:sz="0" w:space="0" w:color="auto"/>
      </w:divBdr>
    </w:div>
    <w:div w:id="1087726571">
      <w:bodyDiv w:val="1"/>
      <w:marLeft w:val="0"/>
      <w:marRight w:val="0"/>
      <w:marTop w:val="0"/>
      <w:marBottom w:val="0"/>
      <w:divBdr>
        <w:top w:val="none" w:sz="0" w:space="0" w:color="auto"/>
        <w:left w:val="none" w:sz="0" w:space="0" w:color="auto"/>
        <w:bottom w:val="none" w:sz="0" w:space="0" w:color="auto"/>
        <w:right w:val="none" w:sz="0" w:space="0" w:color="auto"/>
      </w:divBdr>
    </w:div>
    <w:div w:id="1547136781">
      <w:bodyDiv w:val="1"/>
      <w:marLeft w:val="0"/>
      <w:marRight w:val="0"/>
      <w:marTop w:val="0"/>
      <w:marBottom w:val="0"/>
      <w:divBdr>
        <w:top w:val="none" w:sz="0" w:space="0" w:color="auto"/>
        <w:left w:val="none" w:sz="0" w:space="0" w:color="auto"/>
        <w:bottom w:val="none" w:sz="0" w:space="0" w:color="auto"/>
        <w:right w:val="none" w:sz="0" w:space="0" w:color="auto"/>
      </w:divBdr>
    </w:div>
    <w:div w:id="1592666068">
      <w:bodyDiv w:val="1"/>
      <w:marLeft w:val="0"/>
      <w:marRight w:val="0"/>
      <w:marTop w:val="0"/>
      <w:marBottom w:val="0"/>
      <w:divBdr>
        <w:top w:val="none" w:sz="0" w:space="0" w:color="auto"/>
        <w:left w:val="none" w:sz="0" w:space="0" w:color="auto"/>
        <w:bottom w:val="none" w:sz="0" w:space="0" w:color="auto"/>
        <w:right w:val="none" w:sz="0" w:space="0" w:color="auto"/>
      </w:divBdr>
    </w:div>
    <w:div w:id="1613241851">
      <w:bodyDiv w:val="1"/>
      <w:marLeft w:val="0"/>
      <w:marRight w:val="0"/>
      <w:marTop w:val="0"/>
      <w:marBottom w:val="0"/>
      <w:divBdr>
        <w:top w:val="none" w:sz="0" w:space="0" w:color="auto"/>
        <w:left w:val="none" w:sz="0" w:space="0" w:color="auto"/>
        <w:bottom w:val="none" w:sz="0" w:space="0" w:color="auto"/>
        <w:right w:val="none" w:sz="0" w:space="0" w:color="auto"/>
      </w:divBdr>
      <w:divsChild>
        <w:div w:id="247929497">
          <w:marLeft w:val="0"/>
          <w:marRight w:val="0"/>
          <w:marTop w:val="0"/>
          <w:marBottom w:val="0"/>
          <w:divBdr>
            <w:top w:val="none" w:sz="0" w:space="0" w:color="auto"/>
            <w:left w:val="none" w:sz="0" w:space="0" w:color="auto"/>
            <w:bottom w:val="none" w:sz="0" w:space="0" w:color="auto"/>
            <w:right w:val="none" w:sz="0" w:space="0" w:color="auto"/>
          </w:divBdr>
        </w:div>
        <w:div w:id="1596745194">
          <w:marLeft w:val="0"/>
          <w:marRight w:val="0"/>
          <w:marTop w:val="0"/>
          <w:marBottom w:val="0"/>
          <w:divBdr>
            <w:top w:val="none" w:sz="0" w:space="0" w:color="auto"/>
            <w:left w:val="none" w:sz="0" w:space="0" w:color="auto"/>
            <w:bottom w:val="none" w:sz="0" w:space="0" w:color="auto"/>
            <w:right w:val="none" w:sz="0" w:space="0" w:color="auto"/>
          </w:divBdr>
        </w:div>
      </w:divsChild>
    </w:div>
    <w:div w:id="1636369934">
      <w:bodyDiv w:val="1"/>
      <w:marLeft w:val="0"/>
      <w:marRight w:val="0"/>
      <w:marTop w:val="0"/>
      <w:marBottom w:val="0"/>
      <w:divBdr>
        <w:top w:val="none" w:sz="0" w:space="0" w:color="auto"/>
        <w:left w:val="none" w:sz="0" w:space="0" w:color="auto"/>
        <w:bottom w:val="none" w:sz="0" w:space="0" w:color="auto"/>
        <w:right w:val="none" w:sz="0" w:space="0" w:color="auto"/>
      </w:divBdr>
    </w:div>
    <w:div w:id="189388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oleObject" Target="embeddings/oleObject2.bin"/><Relationship Id="rId26" Type="http://schemas.openxmlformats.org/officeDocument/2006/relationships/oleObject" Target="embeddings/oleObject6.bin"/><Relationship Id="rId21" Type="http://schemas.openxmlformats.org/officeDocument/2006/relationships/image" Target="media/image6.emf"/><Relationship Id="rId34" Type="http://schemas.openxmlformats.org/officeDocument/2006/relationships/oleObject" Target="embeddings/oleObject8.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5.bin"/><Relationship Id="rId32" Type="http://schemas.openxmlformats.org/officeDocument/2006/relationships/image" Target="media/image1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image" Target="media/image10.emf"/><Relationship Id="rId36" Type="http://schemas.openxmlformats.org/officeDocument/2006/relationships/image" Target="media/image16.png"/><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5.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hyperlink" Target="mailto:yassminramadan80@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JGK\Anwendungsdaten\Microsoft\Vorlagen\Elsevi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15624-7B4C-416D-8DFF-288024E0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Elsevier</Template>
  <TotalTime>44</TotalTime>
  <Pages>17</Pages>
  <Words>9890</Words>
  <Characters>56376</Characters>
  <Application>Microsoft Office Word</Application>
  <DocSecurity>0</DocSecurity>
  <Lines>469</Lines>
  <Paragraphs>132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Elsevier Science</Company>
  <LinksUpToDate>false</LinksUpToDate>
  <CharactersWithSpaces>66134</CharactersWithSpaces>
  <SharedDoc>false</SharedDoc>
  <HLinks>
    <vt:vector size="6" baseType="variant">
      <vt:variant>
        <vt:i4>4194304</vt:i4>
      </vt:variant>
      <vt:variant>
        <vt:i4>10</vt:i4>
      </vt:variant>
      <vt:variant>
        <vt:i4>0</vt:i4>
      </vt:variant>
      <vt:variant>
        <vt:i4>5</vt:i4>
      </vt:variant>
      <vt:variant>
        <vt:lpwstr>http://www.elsevier.com/locate/authorartwork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Pixel2005</dc:subject>
  <dc:creator>user</dc:creator>
  <cp:keywords/>
  <dc:description/>
  <cp:lastModifiedBy>WIN10</cp:lastModifiedBy>
  <cp:revision>8</cp:revision>
  <cp:lastPrinted>2024-03-24T09:54:00Z</cp:lastPrinted>
  <dcterms:created xsi:type="dcterms:W3CDTF">2026-02-12T04:39:00Z</dcterms:created>
  <dcterms:modified xsi:type="dcterms:W3CDTF">2026-02-21T07:29:00Z</dcterms:modified>
</cp:coreProperties>
</file>